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6009" w:rsidRDefault="00256009">
      <w:pPr>
        <w:rPr>
          <w:rFonts w:eastAsia="標楷體" w:cstheme="minorHAnsi"/>
          <w:b/>
          <w:color w:val="FF0000"/>
          <w:u w:val="single"/>
        </w:rPr>
      </w:pPr>
    </w:p>
    <w:p w:rsidR="00251D71" w:rsidRPr="00251D71" w:rsidRDefault="00251D71">
      <w:pPr>
        <w:rPr>
          <w:rFonts w:eastAsia="標楷體" w:cstheme="minorHAnsi"/>
          <w:b/>
        </w:rPr>
      </w:pPr>
      <w:r w:rsidRPr="00251D71">
        <w:rPr>
          <w:rFonts w:eastAsia="標楷體" w:cstheme="minorHAnsi" w:hint="eastAsia"/>
          <w:b/>
        </w:rPr>
        <w:t>說明：</w:t>
      </w:r>
    </w:p>
    <w:p w:rsidR="008A0F1B" w:rsidRPr="00E1759D" w:rsidRDefault="00251D71">
      <w:pPr>
        <w:rPr>
          <w:rFonts w:eastAsia="標楷體" w:cstheme="minorHAnsi"/>
          <w:b/>
          <w:color w:val="FF0000"/>
          <w:u w:val="single"/>
        </w:rPr>
      </w:pPr>
      <w:r w:rsidRPr="00E1759D">
        <w:rPr>
          <w:rFonts w:eastAsia="標楷體" w:cstheme="minorHAnsi" w:hint="eastAsia"/>
          <w:b/>
          <w:color w:val="FF0000"/>
          <w:u w:val="single"/>
        </w:rPr>
        <w:t>一、</w:t>
      </w:r>
      <w:r w:rsidR="00583D4F" w:rsidRPr="00E1759D">
        <w:rPr>
          <w:rFonts w:eastAsia="標楷體" w:cstheme="minorHAnsi"/>
          <w:b/>
          <w:color w:val="FF0000"/>
          <w:u w:val="single"/>
        </w:rPr>
        <w:t>專利</w:t>
      </w:r>
      <w:r w:rsidRPr="00E1759D">
        <w:rPr>
          <w:rFonts w:eastAsia="標楷體" w:cstheme="minorHAnsi" w:hint="eastAsia"/>
          <w:b/>
          <w:color w:val="FF0000"/>
          <w:u w:val="single"/>
        </w:rPr>
        <w:t>之認定</w:t>
      </w:r>
      <w:r w:rsidR="00583D4F" w:rsidRPr="00E1759D">
        <w:rPr>
          <w:rFonts w:eastAsia="標楷體" w:cstheme="minorHAnsi"/>
          <w:b/>
          <w:color w:val="FF0000"/>
          <w:u w:val="single"/>
        </w:rPr>
        <w:t>：</w:t>
      </w:r>
    </w:p>
    <w:p w:rsidR="008E0B41" w:rsidRPr="004C050F" w:rsidRDefault="008E0B41" w:rsidP="007D0AF1">
      <w:pPr>
        <w:tabs>
          <w:tab w:val="left" w:pos="567"/>
        </w:tabs>
        <w:spacing w:beforeLines="50"/>
        <w:rPr>
          <w:rFonts w:ascii="Arial" w:eastAsia="標楷體" w:hAnsi="Arial" w:cs="Arial"/>
          <w:kern w:val="0"/>
          <w:szCs w:val="24"/>
        </w:rPr>
      </w:pPr>
      <w:r w:rsidRPr="00E1759D">
        <w:rPr>
          <w:rFonts w:ascii="Arial" w:eastAsia="標楷體" w:hAnsi="Arial" w:cs="Arial"/>
          <w:b/>
          <w:color w:val="FF0000"/>
          <w:kern w:val="0"/>
          <w:szCs w:val="24"/>
        </w:rPr>
        <w:t>部分品項雖於研發之初</w:t>
      </w:r>
      <w:r w:rsidR="00D4577A" w:rsidRPr="00E1759D">
        <w:rPr>
          <w:rFonts w:ascii="Arial" w:eastAsia="標楷體" w:hAnsi="Arial" w:cs="Arial" w:hint="eastAsia"/>
          <w:b/>
          <w:color w:val="FF0000"/>
          <w:kern w:val="0"/>
          <w:szCs w:val="24"/>
        </w:rPr>
        <w:t>又因未及時申請我國主成分專利</w:t>
      </w:r>
      <w:r w:rsidRPr="00E1759D">
        <w:rPr>
          <w:rFonts w:ascii="Arial" w:eastAsia="標楷體" w:hAnsi="Arial" w:cs="Arial"/>
          <w:b/>
          <w:color w:val="FF0000"/>
          <w:kern w:val="0"/>
          <w:szCs w:val="24"/>
        </w:rPr>
        <w:t>，然於大部分先進國家具專利保護</w:t>
      </w:r>
      <w:r w:rsidRPr="00E1759D">
        <w:rPr>
          <w:rFonts w:ascii="新細明體" w:eastAsia="新細明體" w:hAnsi="新細明體" w:cs="Arial" w:hint="eastAsia"/>
          <w:b/>
          <w:color w:val="FF0000"/>
          <w:kern w:val="0"/>
          <w:szCs w:val="24"/>
        </w:rPr>
        <w:t>、</w:t>
      </w:r>
      <w:r w:rsidRPr="00E1759D">
        <w:rPr>
          <w:rFonts w:ascii="Arial" w:eastAsia="標楷體" w:hAnsi="Arial" w:cs="Arial" w:hint="eastAsia"/>
          <w:b/>
          <w:color w:val="FF0000"/>
          <w:kern w:val="0"/>
          <w:szCs w:val="24"/>
        </w:rPr>
        <w:t>或如生物藥品</w:t>
      </w:r>
      <w:r w:rsidR="003C3294" w:rsidRPr="00E1759D">
        <w:rPr>
          <w:rFonts w:ascii="Arial" w:eastAsia="標楷體" w:hAnsi="Arial" w:cs="Arial"/>
          <w:b/>
          <w:color w:val="FF0000"/>
          <w:kern w:val="0"/>
          <w:szCs w:val="24"/>
        </w:rPr>
        <w:t>…</w:t>
      </w:r>
      <w:r w:rsidR="003C3294" w:rsidRPr="00E1759D">
        <w:rPr>
          <w:rFonts w:ascii="Arial" w:eastAsia="標楷體" w:hAnsi="Arial" w:cs="Arial" w:hint="eastAsia"/>
          <w:b/>
          <w:color w:val="FF0000"/>
          <w:kern w:val="0"/>
          <w:szCs w:val="24"/>
        </w:rPr>
        <w:t>.</w:t>
      </w:r>
      <w:r w:rsidRPr="00E1759D">
        <w:rPr>
          <w:rFonts w:ascii="Arial" w:eastAsia="標楷體" w:hAnsi="Arial" w:cs="Arial" w:hint="eastAsia"/>
          <w:b/>
          <w:color w:val="FF0000"/>
          <w:kern w:val="0"/>
          <w:szCs w:val="24"/>
        </w:rPr>
        <w:t>等</w:t>
      </w:r>
      <w:r w:rsidR="003C3294" w:rsidRPr="00E1759D">
        <w:rPr>
          <w:rFonts w:ascii="新細明體" w:eastAsia="新細明體" w:hAnsi="新細明體" w:cs="Arial" w:hint="eastAsia"/>
          <w:b/>
          <w:color w:val="FF0000"/>
          <w:kern w:val="0"/>
          <w:szCs w:val="24"/>
        </w:rPr>
        <w:t>，</w:t>
      </w:r>
      <w:r w:rsidRPr="00E1759D">
        <w:rPr>
          <w:rFonts w:ascii="Arial" w:eastAsia="標楷體" w:hAnsi="Arial" w:cs="Arial" w:hint="eastAsia"/>
          <w:b/>
          <w:color w:val="FF0000"/>
          <w:kern w:val="0"/>
          <w:szCs w:val="24"/>
        </w:rPr>
        <w:t>於其他國家有不同之管理法規或專利認定方式</w:t>
      </w:r>
      <w:r w:rsidRPr="00E1759D">
        <w:rPr>
          <w:rFonts w:ascii="新細明體" w:eastAsia="新細明體" w:hAnsi="新細明體" w:cs="Arial" w:hint="eastAsia"/>
          <w:b/>
          <w:color w:val="FF0000"/>
          <w:kern w:val="0"/>
          <w:szCs w:val="24"/>
        </w:rPr>
        <w:t>，</w:t>
      </w:r>
      <w:r w:rsidRPr="00E1759D">
        <w:rPr>
          <w:rFonts w:ascii="Arial" w:eastAsia="標楷體" w:hAnsi="Arial" w:cs="Arial"/>
          <w:b/>
          <w:color w:val="FF0000"/>
          <w:kern w:val="0"/>
          <w:szCs w:val="24"/>
        </w:rPr>
        <w:t>建議應</w:t>
      </w:r>
      <w:r w:rsidRPr="00E1759D">
        <w:rPr>
          <w:rFonts w:ascii="Arial" w:eastAsia="標楷體" w:hAnsi="Arial" w:cs="Arial" w:hint="eastAsia"/>
          <w:b/>
          <w:color w:val="FF0000"/>
          <w:kern w:val="0"/>
          <w:szCs w:val="24"/>
        </w:rPr>
        <w:t>考量是否有學名藥上市或參考其他國家專利</w:t>
      </w:r>
      <w:r w:rsidRPr="00E1759D">
        <w:rPr>
          <w:rFonts w:ascii="Arial" w:eastAsia="標楷體" w:hAnsi="Arial" w:cs="Arial"/>
          <w:b/>
          <w:color w:val="FF0000"/>
          <w:kern w:val="0"/>
          <w:szCs w:val="24"/>
        </w:rPr>
        <w:t>，不</w:t>
      </w:r>
      <w:r w:rsidRPr="00E1759D">
        <w:rPr>
          <w:rFonts w:ascii="Arial" w:eastAsia="標楷體" w:hAnsi="Arial" w:cs="Arial" w:hint="eastAsia"/>
          <w:b/>
          <w:color w:val="FF0000"/>
          <w:kern w:val="0"/>
          <w:szCs w:val="24"/>
        </w:rPr>
        <w:t>應</w:t>
      </w:r>
      <w:r w:rsidRPr="00E1759D">
        <w:rPr>
          <w:rFonts w:ascii="Arial" w:eastAsia="標楷體" w:hAnsi="Arial" w:cs="Arial"/>
          <w:b/>
          <w:color w:val="FF0000"/>
          <w:kern w:val="0"/>
          <w:szCs w:val="24"/>
        </w:rPr>
        <w:t>直接</w:t>
      </w:r>
      <w:r w:rsidRPr="00E1759D">
        <w:rPr>
          <w:rFonts w:ascii="Arial" w:eastAsia="標楷體" w:hAnsi="Arial" w:cs="Arial" w:hint="eastAsia"/>
          <w:b/>
          <w:color w:val="FF0000"/>
          <w:kern w:val="0"/>
          <w:szCs w:val="24"/>
        </w:rPr>
        <w:t>歸類於第三類</w:t>
      </w:r>
      <w:r w:rsidRPr="00E1759D">
        <w:rPr>
          <w:rFonts w:ascii="Arial" w:eastAsia="標楷體" w:hAnsi="Arial" w:cs="Arial"/>
          <w:b/>
          <w:color w:val="FF0000"/>
          <w:kern w:val="0"/>
          <w:szCs w:val="24"/>
        </w:rPr>
        <w:t>而</w:t>
      </w:r>
      <w:r w:rsidRPr="00E1759D">
        <w:rPr>
          <w:rFonts w:ascii="Arial" w:eastAsia="標楷體" w:hAnsi="Arial" w:cs="Arial" w:hint="eastAsia"/>
          <w:b/>
          <w:color w:val="FF0000"/>
          <w:kern w:val="0"/>
          <w:szCs w:val="24"/>
        </w:rPr>
        <w:t>並據以調整</w:t>
      </w:r>
      <w:r w:rsidRPr="00E1759D">
        <w:rPr>
          <w:rFonts w:ascii="Arial" w:eastAsia="標楷體" w:hAnsi="Arial" w:cs="Arial"/>
          <w:b/>
          <w:color w:val="FF0000"/>
          <w:kern w:val="0"/>
          <w:szCs w:val="24"/>
        </w:rPr>
        <w:t>支付價格</w:t>
      </w:r>
      <w:r w:rsidRPr="003B3D61">
        <w:rPr>
          <w:rFonts w:ascii="Arial" w:eastAsia="標楷體" w:hAnsi="Arial" w:cs="Arial"/>
          <w:kern w:val="0"/>
          <w:sz w:val="20"/>
          <w:szCs w:val="24"/>
        </w:rPr>
        <w:t>，</w:t>
      </w: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其理由茲陳述如下</w:t>
      </w: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:</w:t>
      </w:r>
    </w:p>
    <w:p w:rsidR="008E0B41" w:rsidRPr="003B3D61" w:rsidRDefault="008E0B41" w:rsidP="003C3294">
      <w:pPr>
        <w:numPr>
          <w:ilvl w:val="0"/>
          <w:numId w:val="2"/>
        </w:numPr>
        <w:tabs>
          <w:tab w:val="left" w:pos="567"/>
        </w:tabs>
        <w:ind w:left="709"/>
        <w:rPr>
          <w:rFonts w:ascii="Arial" w:eastAsia="標楷體" w:hAnsi="Arial" w:cs="Arial"/>
          <w:kern w:val="0"/>
          <w:sz w:val="20"/>
          <w:szCs w:val="24"/>
        </w:rPr>
      </w:pPr>
      <w:r w:rsidRPr="003B3D61">
        <w:rPr>
          <w:rFonts w:ascii="Arial" w:eastAsia="標楷體" w:hAnsi="Arial" w:cs="Arial"/>
          <w:kern w:val="0"/>
          <w:sz w:val="20"/>
          <w:szCs w:val="24"/>
        </w:rPr>
        <w:t>因藥品乃銷售全球之國際公共財，我政府不</w:t>
      </w: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宜因未申請國主成分專利而</w:t>
      </w:r>
      <w:r w:rsidRPr="003B3D61">
        <w:rPr>
          <w:rFonts w:ascii="Arial" w:eastAsia="標楷體" w:hAnsi="Arial" w:cs="Arial"/>
          <w:kern w:val="0"/>
          <w:sz w:val="20"/>
          <w:szCs w:val="24"/>
        </w:rPr>
        <w:t>片面</w:t>
      </w: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認定逾專利期進而製造不利該等品項之銷售環境</w:t>
      </w:r>
      <w:r w:rsidRPr="003B3D61">
        <w:rPr>
          <w:rFonts w:ascii="新細明體" w:eastAsia="新細明體" w:hAnsi="新細明體" w:cs="Arial" w:hint="eastAsia"/>
          <w:kern w:val="0"/>
          <w:sz w:val="20"/>
          <w:szCs w:val="24"/>
        </w:rPr>
        <w:t>，</w:t>
      </w: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而有形成貿易障礙之嫌</w:t>
      </w:r>
      <w:r w:rsidRPr="003B3D61">
        <w:rPr>
          <w:rFonts w:ascii="新細明體" w:eastAsia="新細明體" w:hAnsi="新細明體" w:cs="Arial" w:hint="eastAsia"/>
          <w:kern w:val="0"/>
          <w:sz w:val="20"/>
          <w:szCs w:val="24"/>
        </w:rPr>
        <w:t>。</w:t>
      </w:r>
    </w:p>
    <w:p w:rsidR="008E0B41" w:rsidRPr="003B3D61" w:rsidRDefault="008E0B41" w:rsidP="003C3294">
      <w:pPr>
        <w:numPr>
          <w:ilvl w:val="0"/>
          <w:numId w:val="2"/>
        </w:numPr>
        <w:tabs>
          <w:tab w:val="left" w:pos="567"/>
        </w:tabs>
        <w:ind w:left="709"/>
        <w:rPr>
          <w:rFonts w:ascii="Arial" w:eastAsia="標楷體" w:hAnsi="Arial" w:cs="Arial"/>
          <w:kern w:val="0"/>
          <w:sz w:val="20"/>
          <w:szCs w:val="24"/>
        </w:rPr>
      </w:pP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將</w:t>
      </w:r>
      <w:r w:rsidRPr="003B3D61">
        <w:rPr>
          <w:rFonts w:ascii="Arial" w:eastAsia="標楷體" w:hAnsi="Arial" w:cs="Arial"/>
          <w:kern w:val="0"/>
          <w:sz w:val="20"/>
          <w:szCs w:val="24"/>
        </w:rPr>
        <w:t>造成我國價格偏離其他國家價格，若其他國家參考我國價格，將嚴重影響在台繼續販售之意願。</w:t>
      </w:r>
    </w:p>
    <w:p w:rsidR="00583D4F" w:rsidRPr="003B3D61" w:rsidRDefault="008E0B41" w:rsidP="003C3294">
      <w:pPr>
        <w:numPr>
          <w:ilvl w:val="0"/>
          <w:numId w:val="2"/>
        </w:numPr>
        <w:tabs>
          <w:tab w:val="left" w:pos="567"/>
        </w:tabs>
        <w:ind w:left="709"/>
        <w:rPr>
          <w:rFonts w:eastAsia="標楷體" w:cstheme="minorHAnsi"/>
          <w:sz w:val="20"/>
        </w:rPr>
      </w:pP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未來可能造成部分新藥因為現行核價偏低</w:t>
      </w: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(</w:t>
      </w: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十大先進國家中位數</w:t>
      </w: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42%)</w:t>
      </w:r>
      <w:r w:rsidRPr="003B3D61">
        <w:rPr>
          <w:rFonts w:ascii="新細明體" w:eastAsia="新細明體" w:hAnsi="新細明體" w:cs="Arial" w:hint="eastAsia"/>
          <w:kern w:val="0"/>
          <w:sz w:val="20"/>
          <w:szCs w:val="24"/>
        </w:rPr>
        <w:t>，</w:t>
      </w: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又因</w:t>
      </w:r>
      <w:r w:rsidR="00D4577A" w:rsidRPr="003B3D61">
        <w:rPr>
          <w:rFonts w:ascii="Arial" w:eastAsia="標楷體" w:hAnsi="Arial" w:cs="Arial" w:hint="eastAsia"/>
          <w:kern w:val="0"/>
          <w:sz w:val="20"/>
          <w:szCs w:val="24"/>
        </w:rPr>
        <w:t>未及時申請我國主成分專利</w:t>
      </w: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而面臨價格調整</w:t>
      </w:r>
      <w:r w:rsidRPr="003B3D61">
        <w:rPr>
          <w:rFonts w:ascii="新細明體" w:eastAsia="新細明體" w:hAnsi="新細明體" w:cs="Arial" w:hint="eastAsia"/>
          <w:kern w:val="0"/>
          <w:sz w:val="20"/>
          <w:szCs w:val="24"/>
        </w:rPr>
        <w:t>，</w:t>
      </w:r>
      <w:r w:rsidRPr="003B3D61">
        <w:rPr>
          <w:rFonts w:ascii="Arial" w:eastAsia="標楷體" w:hAnsi="Arial" w:cs="Arial" w:hint="eastAsia"/>
          <w:kern w:val="0"/>
          <w:sz w:val="20"/>
          <w:szCs w:val="24"/>
        </w:rPr>
        <w:t>不願在台上市而影響民眾權益</w:t>
      </w:r>
      <w:r w:rsidRPr="003B3D61">
        <w:rPr>
          <w:rFonts w:ascii="新細明體" w:eastAsia="新細明體" w:hAnsi="新細明體" w:cs="Arial" w:hint="eastAsia"/>
          <w:kern w:val="0"/>
          <w:sz w:val="20"/>
          <w:szCs w:val="24"/>
        </w:rPr>
        <w:t>。</w:t>
      </w:r>
    </w:p>
    <w:p w:rsidR="00EC6E4B" w:rsidRPr="004C050F" w:rsidRDefault="00EC6E4B">
      <w:pPr>
        <w:rPr>
          <w:rFonts w:eastAsia="標楷體" w:cstheme="minorHAnsi"/>
        </w:rPr>
      </w:pPr>
    </w:p>
    <w:p w:rsidR="00583D4F" w:rsidRPr="00510E26" w:rsidRDefault="00A832AF">
      <w:pPr>
        <w:rPr>
          <w:rFonts w:eastAsia="標楷體" w:cstheme="minorHAnsi"/>
          <w:b/>
          <w:color w:val="FF0000"/>
          <w:u w:val="single"/>
        </w:rPr>
      </w:pPr>
      <w:r>
        <w:rPr>
          <w:rFonts w:eastAsia="標楷體" w:cstheme="minorHAnsi" w:hint="eastAsia"/>
          <w:b/>
          <w:color w:val="FF0000"/>
          <w:u w:val="single"/>
        </w:rPr>
        <w:t>二、</w:t>
      </w:r>
      <w:r w:rsidR="00583D4F" w:rsidRPr="00510E26">
        <w:rPr>
          <w:rFonts w:eastAsia="標楷體" w:cstheme="minorHAnsi" w:hint="eastAsia"/>
          <w:b/>
          <w:color w:val="FF0000"/>
          <w:u w:val="single"/>
        </w:rPr>
        <w:t>『銷售資料</w:t>
      </w:r>
      <w:proofErr w:type="gramStart"/>
      <w:r w:rsidR="00583D4F" w:rsidRPr="00510E26">
        <w:rPr>
          <w:rFonts w:eastAsia="標楷體" w:cstheme="minorHAnsi" w:hint="eastAsia"/>
          <w:b/>
          <w:color w:val="FF0000"/>
          <w:u w:val="single"/>
        </w:rPr>
        <w:t>採</w:t>
      </w:r>
      <w:proofErr w:type="gramEnd"/>
      <w:r w:rsidR="00583D4F" w:rsidRPr="00510E26">
        <w:rPr>
          <w:rFonts w:eastAsia="標楷體" w:cstheme="minorHAnsi" w:hint="eastAsia"/>
          <w:b/>
          <w:color w:val="FF0000"/>
          <w:u w:val="single"/>
        </w:rPr>
        <w:t>計</w:t>
      </w:r>
      <w:proofErr w:type="gramStart"/>
      <w:r w:rsidR="00583D4F" w:rsidRPr="00510E26">
        <w:rPr>
          <w:rFonts w:eastAsia="標楷體" w:cstheme="minorHAnsi" w:hint="eastAsia"/>
          <w:b/>
          <w:color w:val="FF0000"/>
          <w:u w:val="single"/>
        </w:rPr>
        <w:t>期間』</w:t>
      </w:r>
      <w:proofErr w:type="gramEnd"/>
      <w:r w:rsidR="00852123" w:rsidRPr="00510E26">
        <w:rPr>
          <w:rFonts w:eastAsia="標楷體" w:cstheme="minorHAnsi" w:hint="eastAsia"/>
          <w:b/>
          <w:color w:val="FF0000"/>
          <w:u w:val="single"/>
        </w:rPr>
        <w:t>之定義：</w:t>
      </w:r>
      <w:r w:rsidR="003B3D61" w:rsidRPr="003B3D61">
        <w:rPr>
          <w:rFonts w:eastAsia="標楷體" w:cstheme="minorHAnsi" w:hint="eastAsia"/>
          <w:b/>
          <w:color w:val="FF0000"/>
        </w:rPr>
        <w:t>應該指</w:t>
      </w:r>
      <w:r w:rsidR="003B3D61" w:rsidRPr="003B3D61">
        <w:rPr>
          <w:rFonts w:eastAsia="標楷體" w:cstheme="minorHAnsi" w:hint="eastAsia"/>
          <w:b/>
          <w:color w:val="FF0000"/>
        </w:rPr>
        <w:t>100</w:t>
      </w:r>
      <w:r w:rsidR="003B3D61" w:rsidRPr="003B3D61">
        <w:rPr>
          <w:rFonts w:eastAsia="標楷體" w:cstheme="minorHAnsi" w:hint="eastAsia"/>
          <w:b/>
          <w:color w:val="FF0000"/>
        </w:rPr>
        <w:t>年</w:t>
      </w:r>
      <w:r w:rsidR="003B3D61" w:rsidRPr="003B3D61">
        <w:rPr>
          <w:rFonts w:eastAsia="標楷體" w:cstheme="minorHAnsi" w:hint="eastAsia"/>
          <w:b/>
          <w:color w:val="FF0000"/>
        </w:rPr>
        <w:t>12</w:t>
      </w:r>
      <w:r w:rsidR="003B3D61" w:rsidRPr="003B3D61">
        <w:rPr>
          <w:rFonts w:eastAsia="標楷體" w:cstheme="minorHAnsi" w:hint="eastAsia"/>
          <w:b/>
          <w:color w:val="FF0000"/>
        </w:rPr>
        <w:t>月</w:t>
      </w:r>
      <w:r w:rsidR="003B3D61" w:rsidRPr="003B3D61">
        <w:rPr>
          <w:rFonts w:eastAsia="標楷體" w:cstheme="minorHAnsi" w:hint="eastAsia"/>
          <w:b/>
          <w:color w:val="FF0000"/>
        </w:rPr>
        <w:t>1</w:t>
      </w:r>
      <w:r w:rsidR="003B3D61" w:rsidRPr="003B3D61">
        <w:rPr>
          <w:rFonts w:eastAsia="標楷體" w:cstheme="minorHAnsi" w:hint="eastAsia"/>
          <w:b/>
          <w:color w:val="FF0000"/>
        </w:rPr>
        <w:t>日起</w:t>
      </w:r>
      <w:r w:rsidR="003B3D61" w:rsidRPr="003B3D61">
        <w:rPr>
          <w:rFonts w:eastAsia="標楷體" w:cstheme="minorHAnsi" w:hint="eastAsia"/>
          <w:b/>
          <w:color w:val="FF0000"/>
        </w:rPr>
        <w:t xml:space="preserve"> (</w:t>
      </w:r>
      <w:proofErr w:type="gramStart"/>
      <w:r w:rsidR="003B3D61" w:rsidRPr="003B3D61">
        <w:rPr>
          <w:rFonts w:eastAsia="標楷體" w:cstheme="minorHAnsi" w:hint="eastAsia"/>
          <w:b/>
          <w:color w:val="FF0000"/>
        </w:rPr>
        <w:t>第七次藥價</w:t>
      </w:r>
      <w:proofErr w:type="gramEnd"/>
      <w:r w:rsidR="003B3D61" w:rsidRPr="003B3D61">
        <w:rPr>
          <w:rFonts w:eastAsia="標楷體" w:cstheme="minorHAnsi" w:hint="eastAsia"/>
          <w:b/>
          <w:color w:val="FF0000"/>
        </w:rPr>
        <w:t>調查生效日</w:t>
      </w:r>
      <w:r w:rsidR="003B3D61" w:rsidRPr="003B3D61">
        <w:rPr>
          <w:rFonts w:eastAsia="標楷體" w:cstheme="minorHAnsi" w:hint="eastAsia"/>
          <w:b/>
          <w:color w:val="FF0000"/>
        </w:rPr>
        <w:t>)</w:t>
      </w:r>
      <w:r w:rsidR="003B3D61" w:rsidRPr="003B3D61">
        <w:rPr>
          <w:rFonts w:eastAsia="標楷體" w:cstheme="minorHAnsi" w:hint="eastAsia"/>
          <w:b/>
          <w:color w:val="FF0000"/>
        </w:rPr>
        <w:t>，往後一年即為此次實施本辦法之『銷售資料</w:t>
      </w:r>
      <w:proofErr w:type="gramStart"/>
      <w:r w:rsidR="003B3D61" w:rsidRPr="003B3D61">
        <w:rPr>
          <w:rFonts w:eastAsia="標楷體" w:cstheme="minorHAnsi" w:hint="eastAsia"/>
          <w:b/>
          <w:color w:val="FF0000"/>
        </w:rPr>
        <w:t>採</w:t>
      </w:r>
      <w:proofErr w:type="gramEnd"/>
      <w:r w:rsidR="003B3D61" w:rsidRPr="003B3D61">
        <w:rPr>
          <w:rFonts w:eastAsia="標楷體" w:cstheme="minorHAnsi" w:hint="eastAsia"/>
          <w:b/>
          <w:color w:val="FF0000"/>
        </w:rPr>
        <w:t>計期間』</w:t>
      </w:r>
    </w:p>
    <w:p w:rsidR="00852123" w:rsidRPr="003B3D61" w:rsidRDefault="00D038C5" w:rsidP="007D0AF1">
      <w:pPr>
        <w:snapToGrid w:val="0"/>
        <w:spacing w:beforeLines="50" w:line="240" w:lineRule="atLeast"/>
        <w:rPr>
          <w:rFonts w:eastAsia="標楷體" w:cstheme="minorHAnsi"/>
          <w:sz w:val="21"/>
        </w:rPr>
      </w:pPr>
      <w:r w:rsidRPr="003B3D61">
        <w:rPr>
          <w:rFonts w:eastAsia="標楷體" w:cstheme="minorHAnsi" w:hint="eastAsia"/>
          <w:sz w:val="21"/>
        </w:rPr>
        <w:t>根據</w:t>
      </w:r>
      <w:r w:rsidR="00846F7B" w:rsidRPr="003B3D61">
        <w:rPr>
          <w:rFonts w:eastAsia="標楷體" w:cstheme="minorHAnsi" w:hint="eastAsia"/>
          <w:sz w:val="21"/>
        </w:rPr>
        <w:t>「全民健康保險藥品價格調整作業辦法」</w:t>
      </w:r>
      <w:r w:rsidR="00846F7B" w:rsidRPr="003B3D61">
        <w:rPr>
          <w:rFonts w:eastAsia="標楷體" w:cstheme="minorHAnsi" w:hint="eastAsia"/>
          <w:sz w:val="21"/>
        </w:rPr>
        <w:t xml:space="preserve"> (</w:t>
      </w:r>
      <w:r w:rsidR="00846F7B" w:rsidRPr="003B3D61">
        <w:rPr>
          <w:rFonts w:eastAsia="標楷體" w:cstheme="minorHAnsi" w:hint="eastAsia"/>
          <w:sz w:val="21"/>
        </w:rPr>
        <w:t>以下簡稱本辦法</w:t>
      </w:r>
      <w:r w:rsidR="00846F7B" w:rsidRPr="003B3D61">
        <w:rPr>
          <w:rFonts w:eastAsia="標楷體" w:cstheme="minorHAnsi" w:hint="eastAsia"/>
          <w:sz w:val="21"/>
        </w:rPr>
        <w:t xml:space="preserve">) </w:t>
      </w:r>
      <w:r w:rsidR="00583D4F" w:rsidRPr="003B3D61">
        <w:rPr>
          <w:rFonts w:eastAsia="標楷體" w:cstheme="minorHAnsi"/>
          <w:sz w:val="21"/>
        </w:rPr>
        <w:t>第</w:t>
      </w:r>
      <w:r w:rsidR="00583D4F" w:rsidRPr="003B3D61">
        <w:rPr>
          <w:rFonts w:eastAsia="標楷體" w:cstheme="minorHAnsi" w:hint="eastAsia"/>
          <w:sz w:val="21"/>
        </w:rPr>
        <w:t>十四</w:t>
      </w:r>
      <w:r w:rsidR="00583D4F" w:rsidRPr="003B3D61">
        <w:rPr>
          <w:rFonts w:eastAsia="標楷體" w:cstheme="minorHAnsi"/>
          <w:sz w:val="21"/>
        </w:rPr>
        <w:t>條</w:t>
      </w:r>
      <w:r w:rsidRPr="003B3D61">
        <w:rPr>
          <w:rFonts w:eastAsia="標楷體" w:cstheme="minorHAnsi" w:hint="eastAsia"/>
          <w:sz w:val="21"/>
        </w:rPr>
        <w:t>所述，</w:t>
      </w:r>
      <w:r w:rsidR="00583D4F" w:rsidRPr="003B3D61">
        <w:rPr>
          <w:rFonts w:eastAsia="標楷體" w:cstheme="minorHAnsi" w:hint="eastAsia"/>
          <w:sz w:val="21"/>
        </w:rPr>
        <w:t>藥商銷售資料之</w:t>
      </w:r>
      <w:proofErr w:type="gramStart"/>
      <w:r w:rsidR="00583D4F" w:rsidRPr="003B3D61">
        <w:rPr>
          <w:rFonts w:eastAsia="標楷體" w:cstheme="minorHAnsi" w:hint="eastAsia"/>
          <w:sz w:val="21"/>
        </w:rPr>
        <w:t>採</w:t>
      </w:r>
      <w:proofErr w:type="gramEnd"/>
      <w:r w:rsidR="00583D4F" w:rsidRPr="003B3D61">
        <w:rPr>
          <w:rFonts w:eastAsia="標楷體" w:cstheme="minorHAnsi" w:hint="eastAsia"/>
          <w:sz w:val="21"/>
        </w:rPr>
        <w:t>計方式</w:t>
      </w:r>
      <w:r w:rsidRPr="003B3D61">
        <w:rPr>
          <w:rFonts w:eastAsia="標楷體" w:cstheme="minorHAnsi" w:hint="eastAsia"/>
          <w:sz w:val="21"/>
        </w:rPr>
        <w:t>為</w:t>
      </w:r>
      <w:r w:rsidR="00583D4F" w:rsidRPr="003B3D61">
        <w:rPr>
          <w:rFonts w:eastAsia="標楷體" w:cstheme="minorHAnsi" w:hint="eastAsia"/>
          <w:sz w:val="21"/>
        </w:rPr>
        <w:t>『</w:t>
      </w:r>
      <w:proofErr w:type="gramStart"/>
      <w:r w:rsidR="00583D4F" w:rsidRPr="003B3D61">
        <w:rPr>
          <w:rFonts w:eastAsia="標楷體" w:cstheme="minorHAnsi" w:hint="eastAsia"/>
          <w:sz w:val="21"/>
        </w:rPr>
        <w:t>採</w:t>
      </w:r>
      <w:proofErr w:type="gramEnd"/>
      <w:r w:rsidR="00583D4F" w:rsidRPr="003B3D61">
        <w:rPr>
          <w:rFonts w:eastAsia="標楷體" w:cstheme="minorHAnsi" w:hint="eastAsia"/>
          <w:sz w:val="21"/>
        </w:rPr>
        <w:t>計最近一次依本章調整藥品支付價格生效日起一年之藥商銷售資料』，</w:t>
      </w:r>
      <w:r w:rsidRPr="003B3D61">
        <w:rPr>
          <w:rFonts w:eastAsia="標楷體" w:cstheme="minorHAnsi" w:hint="eastAsia"/>
          <w:sz w:val="21"/>
        </w:rPr>
        <w:t>應該</w:t>
      </w:r>
      <w:r w:rsidR="00583D4F" w:rsidRPr="003B3D61">
        <w:rPr>
          <w:rFonts w:eastAsia="標楷體" w:cstheme="minorHAnsi" w:hint="eastAsia"/>
          <w:sz w:val="21"/>
        </w:rPr>
        <w:t>指</w:t>
      </w:r>
      <w:r w:rsidRPr="003B3D61">
        <w:rPr>
          <w:rFonts w:eastAsia="標楷體" w:cstheme="minorHAnsi" w:hint="eastAsia"/>
          <w:sz w:val="21"/>
        </w:rPr>
        <w:t>10</w:t>
      </w:r>
      <w:r w:rsidR="00DB0CA1" w:rsidRPr="003B3D61">
        <w:rPr>
          <w:rFonts w:eastAsia="標楷體" w:cstheme="minorHAnsi" w:hint="eastAsia"/>
          <w:sz w:val="21"/>
        </w:rPr>
        <w:t>0</w:t>
      </w:r>
      <w:r w:rsidR="00583D4F" w:rsidRPr="003B3D61">
        <w:rPr>
          <w:rFonts w:eastAsia="標楷體" w:cstheme="minorHAnsi" w:hint="eastAsia"/>
          <w:sz w:val="21"/>
        </w:rPr>
        <w:t>年</w:t>
      </w:r>
      <w:r w:rsidR="00583D4F" w:rsidRPr="003B3D61">
        <w:rPr>
          <w:rFonts w:eastAsia="標楷體" w:cstheme="minorHAnsi" w:hint="eastAsia"/>
          <w:sz w:val="21"/>
        </w:rPr>
        <w:t>12</w:t>
      </w:r>
      <w:r w:rsidR="00583D4F" w:rsidRPr="003B3D61">
        <w:rPr>
          <w:rFonts w:eastAsia="標楷體" w:cstheme="minorHAnsi" w:hint="eastAsia"/>
          <w:sz w:val="21"/>
        </w:rPr>
        <w:t>月</w:t>
      </w:r>
      <w:r w:rsidR="00583D4F" w:rsidRPr="003B3D61">
        <w:rPr>
          <w:rFonts w:eastAsia="標楷體" w:cstheme="minorHAnsi" w:hint="eastAsia"/>
          <w:sz w:val="21"/>
        </w:rPr>
        <w:t>1</w:t>
      </w:r>
      <w:r w:rsidRPr="003B3D61">
        <w:rPr>
          <w:rFonts w:eastAsia="標楷體" w:cstheme="minorHAnsi" w:hint="eastAsia"/>
          <w:sz w:val="21"/>
        </w:rPr>
        <w:t>日起</w:t>
      </w:r>
      <w:r w:rsidR="008E3FBF" w:rsidRPr="003B3D61">
        <w:rPr>
          <w:rFonts w:eastAsia="標楷體" w:cstheme="minorHAnsi" w:hint="eastAsia"/>
          <w:sz w:val="21"/>
        </w:rPr>
        <w:t xml:space="preserve"> (</w:t>
      </w:r>
      <w:proofErr w:type="gramStart"/>
      <w:r w:rsidR="008E3FBF" w:rsidRPr="003B3D61">
        <w:rPr>
          <w:rFonts w:eastAsia="標楷體" w:cstheme="minorHAnsi" w:hint="eastAsia"/>
          <w:sz w:val="21"/>
        </w:rPr>
        <w:t>第七次藥價</w:t>
      </w:r>
      <w:proofErr w:type="gramEnd"/>
      <w:r w:rsidR="008E3FBF" w:rsidRPr="003B3D61">
        <w:rPr>
          <w:rFonts w:eastAsia="標楷體" w:cstheme="minorHAnsi" w:hint="eastAsia"/>
          <w:sz w:val="21"/>
        </w:rPr>
        <w:t>調查生效日</w:t>
      </w:r>
      <w:r w:rsidR="008E3FBF" w:rsidRPr="003B3D61">
        <w:rPr>
          <w:rFonts w:eastAsia="標楷體" w:cstheme="minorHAnsi" w:hint="eastAsia"/>
          <w:sz w:val="21"/>
        </w:rPr>
        <w:t>)</w:t>
      </w:r>
      <w:r w:rsidRPr="003B3D61">
        <w:rPr>
          <w:rFonts w:eastAsia="標楷體" w:cstheme="minorHAnsi" w:hint="eastAsia"/>
          <w:sz w:val="21"/>
        </w:rPr>
        <w:t>，往後一年</w:t>
      </w:r>
      <w:r w:rsidR="008E3FBF" w:rsidRPr="003B3D61">
        <w:rPr>
          <w:rFonts w:eastAsia="標楷體" w:cstheme="minorHAnsi" w:hint="eastAsia"/>
          <w:sz w:val="21"/>
        </w:rPr>
        <w:t>即為此次實施本辦法之『銷售資料</w:t>
      </w:r>
      <w:proofErr w:type="gramStart"/>
      <w:r w:rsidR="008E3FBF" w:rsidRPr="003B3D61">
        <w:rPr>
          <w:rFonts w:eastAsia="標楷體" w:cstheme="minorHAnsi" w:hint="eastAsia"/>
          <w:sz w:val="21"/>
        </w:rPr>
        <w:t>採</w:t>
      </w:r>
      <w:proofErr w:type="gramEnd"/>
      <w:r w:rsidR="008E3FBF" w:rsidRPr="003B3D61">
        <w:rPr>
          <w:rFonts w:eastAsia="標楷體" w:cstheme="minorHAnsi" w:hint="eastAsia"/>
          <w:sz w:val="21"/>
        </w:rPr>
        <w:t>計</w:t>
      </w:r>
      <w:proofErr w:type="gramStart"/>
      <w:r w:rsidR="008E3FBF" w:rsidRPr="003B3D61">
        <w:rPr>
          <w:rFonts w:eastAsia="標楷體" w:cstheme="minorHAnsi" w:hint="eastAsia"/>
          <w:sz w:val="21"/>
        </w:rPr>
        <w:t>期間』</w:t>
      </w:r>
      <w:proofErr w:type="gramEnd"/>
      <w:r w:rsidRPr="003B3D61">
        <w:rPr>
          <w:rFonts w:eastAsia="標楷體" w:cstheme="minorHAnsi" w:hint="eastAsia"/>
          <w:sz w:val="21"/>
        </w:rPr>
        <w:t>。</w:t>
      </w:r>
    </w:p>
    <w:p w:rsidR="00510E26" w:rsidRDefault="00510E26" w:rsidP="00583D4F">
      <w:pPr>
        <w:snapToGrid w:val="0"/>
        <w:spacing w:line="240" w:lineRule="atLeast"/>
        <w:rPr>
          <w:rFonts w:eastAsia="標楷體" w:cstheme="minorHAnsi"/>
        </w:rPr>
      </w:pPr>
    </w:p>
    <w:p w:rsidR="00EC6E4B" w:rsidRDefault="00EC6E4B" w:rsidP="00583D4F">
      <w:pPr>
        <w:snapToGrid w:val="0"/>
        <w:spacing w:line="240" w:lineRule="atLeast"/>
        <w:rPr>
          <w:rFonts w:eastAsia="標楷體" w:cstheme="minorHAnsi"/>
        </w:rPr>
      </w:pPr>
    </w:p>
    <w:p w:rsidR="00852123" w:rsidRDefault="003B73F5" w:rsidP="00583D4F">
      <w:pPr>
        <w:snapToGrid w:val="0"/>
        <w:spacing w:line="240" w:lineRule="atLeast"/>
        <w:rPr>
          <w:rFonts w:eastAsia="標楷體" w:cstheme="minorHAnsi"/>
          <w:b/>
          <w:color w:val="FF0000"/>
          <w:u w:val="single"/>
        </w:rPr>
      </w:pPr>
      <w:r w:rsidRPr="00E1759D">
        <w:rPr>
          <w:rFonts w:eastAsia="標楷體" w:cstheme="minorHAnsi" w:hint="eastAsia"/>
          <w:b/>
          <w:color w:val="FF0000"/>
          <w:u w:val="single"/>
        </w:rPr>
        <w:t>三、</w:t>
      </w:r>
      <w:r w:rsidR="00EA61A3" w:rsidRPr="00E1759D">
        <w:rPr>
          <w:rFonts w:eastAsia="標楷體" w:cstheme="minorHAnsi" w:hint="eastAsia"/>
          <w:b/>
          <w:color w:val="FF0000"/>
          <w:u w:val="single"/>
        </w:rPr>
        <w:t>『</w:t>
      </w:r>
      <w:r w:rsidR="00852123" w:rsidRPr="00E1759D">
        <w:rPr>
          <w:rFonts w:eastAsia="標楷體" w:cstheme="minorHAnsi" w:hint="eastAsia"/>
          <w:b/>
          <w:color w:val="FF0000"/>
          <w:u w:val="single"/>
        </w:rPr>
        <w:t>第三大類藥品</w:t>
      </w:r>
      <w:r w:rsidR="00EA61A3" w:rsidRPr="00E1759D">
        <w:rPr>
          <w:rFonts w:eastAsia="標楷體" w:cstheme="minorHAnsi" w:hint="eastAsia"/>
          <w:b/>
          <w:color w:val="FF0000"/>
          <w:u w:val="single"/>
        </w:rPr>
        <w:t>』</w:t>
      </w:r>
      <w:r w:rsidR="00852123" w:rsidRPr="00E1759D">
        <w:rPr>
          <w:rFonts w:eastAsia="標楷體" w:cstheme="minorHAnsi" w:hint="eastAsia"/>
          <w:b/>
          <w:color w:val="FF0000"/>
          <w:u w:val="single"/>
        </w:rPr>
        <w:t>之分類：</w:t>
      </w:r>
    </w:p>
    <w:p w:rsidR="00E1759D" w:rsidRPr="00E1759D" w:rsidRDefault="00E1759D" w:rsidP="00583D4F">
      <w:pPr>
        <w:snapToGrid w:val="0"/>
        <w:spacing w:line="240" w:lineRule="atLeast"/>
        <w:rPr>
          <w:rFonts w:eastAsia="標楷體" w:cstheme="minorHAnsi"/>
          <w:b/>
          <w:color w:val="FF0000"/>
          <w:u w:val="single"/>
        </w:rPr>
      </w:pPr>
      <w:proofErr w:type="gramStart"/>
      <w:r w:rsidRPr="00E1759D">
        <w:rPr>
          <w:rFonts w:eastAsia="標楷體" w:cstheme="minorHAnsi" w:hint="eastAsia"/>
          <w:b/>
          <w:color w:val="FF0000"/>
          <w:u w:val="single"/>
        </w:rPr>
        <w:t>按</w:t>
      </w:r>
      <w:r>
        <w:rPr>
          <w:rFonts w:eastAsia="標楷體" w:cstheme="minorHAnsi" w:hint="eastAsia"/>
          <w:b/>
          <w:color w:val="FF0000"/>
          <w:u w:val="single"/>
        </w:rPr>
        <w:t>衛服部</w:t>
      </w:r>
      <w:proofErr w:type="gramEnd"/>
      <w:r w:rsidRPr="00E1759D">
        <w:rPr>
          <w:rFonts w:eastAsia="標楷體" w:cstheme="minorHAnsi" w:hint="eastAsia"/>
          <w:b/>
          <w:color w:val="FF0000"/>
          <w:u w:val="single"/>
        </w:rPr>
        <w:t>之規定，只要</w:t>
      </w:r>
      <w:proofErr w:type="gramStart"/>
      <w:r w:rsidRPr="00E1759D">
        <w:rPr>
          <w:rFonts w:eastAsia="標楷體" w:cstheme="minorHAnsi" w:hint="eastAsia"/>
          <w:b/>
          <w:color w:val="FF0000"/>
          <w:u w:val="single"/>
        </w:rPr>
        <w:t>食藥署</w:t>
      </w:r>
      <w:proofErr w:type="gramEnd"/>
      <w:r w:rsidRPr="00E1759D">
        <w:rPr>
          <w:rFonts w:eastAsia="標楷體" w:cstheme="minorHAnsi" w:hint="eastAsia"/>
          <w:b/>
          <w:color w:val="FF0000"/>
          <w:u w:val="single"/>
        </w:rPr>
        <w:t>核發之證明文件，不論書面審核取得</w:t>
      </w:r>
      <w:proofErr w:type="gramStart"/>
      <w:r w:rsidRPr="00E1759D">
        <w:rPr>
          <w:rFonts w:eastAsia="標楷體" w:cstheme="minorHAnsi" w:hint="eastAsia"/>
          <w:b/>
          <w:color w:val="FF0000"/>
          <w:u w:val="single"/>
        </w:rPr>
        <w:t>核備函或</w:t>
      </w:r>
      <w:proofErr w:type="gramEnd"/>
      <w:r w:rsidRPr="00E1759D">
        <w:rPr>
          <w:rFonts w:eastAsia="標楷體" w:cstheme="minorHAnsi" w:hint="eastAsia"/>
          <w:b/>
          <w:color w:val="FF0000"/>
          <w:u w:val="single"/>
        </w:rPr>
        <w:t>實地檢查符合</w:t>
      </w:r>
      <w:r w:rsidRPr="00E1759D">
        <w:rPr>
          <w:rFonts w:eastAsia="標楷體" w:cstheme="minorHAnsi" w:hint="eastAsia"/>
          <w:b/>
          <w:color w:val="FF0000"/>
          <w:u w:val="single"/>
        </w:rPr>
        <w:t>PIC/S GMP</w:t>
      </w:r>
      <w:r w:rsidRPr="00E1759D">
        <w:rPr>
          <w:rFonts w:eastAsia="標楷體" w:cstheme="minorHAnsi" w:hint="eastAsia"/>
          <w:b/>
          <w:color w:val="FF0000"/>
          <w:u w:val="single"/>
        </w:rPr>
        <w:t>，</w:t>
      </w:r>
      <w:r w:rsidRPr="00E1759D">
        <w:rPr>
          <w:rFonts w:eastAsia="標楷體" w:cstheme="minorHAnsi" w:hint="eastAsia"/>
          <w:b/>
          <w:color w:val="FF0000"/>
          <w:u w:val="single"/>
        </w:rPr>
        <w:t>TFDA</w:t>
      </w:r>
      <w:proofErr w:type="gramStart"/>
      <w:r w:rsidRPr="00E1759D">
        <w:rPr>
          <w:rFonts w:eastAsia="標楷體" w:cstheme="minorHAnsi" w:hint="eastAsia"/>
          <w:b/>
          <w:color w:val="FF0000"/>
          <w:u w:val="single"/>
        </w:rPr>
        <w:t>均依</w:t>
      </w:r>
      <w:proofErr w:type="gramEnd"/>
      <w:r w:rsidRPr="00E1759D">
        <w:rPr>
          <w:rFonts w:eastAsia="標楷體" w:cstheme="minorHAnsi" w:hint="eastAsia"/>
          <w:b/>
          <w:color w:val="FF0000"/>
          <w:u w:val="single"/>
        </w:rPr>
        <w:t>PIC/S GMP</w:t>
      </w:r>
      <w:r w:rsidRPr="00E1759D">
        <w:rPr>
          <w:rFonts w:eastAsia="標楷體" w:cstheme="minorHAnsi" w:hint="eastAsia"/>
          <w:b/>
          <w:color w:val="FF0000"/>
          <w:u w:val="single"/>
        </w:rPr>
        <w:t>標準進行審查。</w:t>
      </w:r>
      <w:r w:rsidRPr="00E1759D">
        <w:rPr>
          <w:rFonts w:eastAsia="標楷體" w:cstheme="minorHAnsi" w:hint="eastAsia"/>
          <w:b/>
          <w:color w:val="FF0000"/>
          <w:u w:val="single"/>
        </w:rPr>
        <w:t>PIC/S GMP</w:t>
      </w:r>
      <w:r w:rsidRPr="00E1759D">
        <w:rPr>
          <w:rFonts w:eastAsia="標楷體" w:cstheme="minorHAnsi" w:hint="eastAsia"/>
          <w:b/>
          <w:color w:val="FF0000"/>
          <w:u w:val="single"/>
        </w:rPr>
        <w:t>藥廠之審核，</w:t>
      </w:r>
      <w:proofErr w:type="gramStart"/>
      <w:r w:rsidRPr="00E1759D">
        <w:rPr>
          <w:rFonts w:eastAsia="標楷體" w:cstheme="minorHAnsi" w:hint="eastAsia"/>
          <w:b/>
          <w:color w:val="FF0000"/>
          <w:u w:val="single"/>
        </w:rPr>
        <w:t>屬食藥署</w:t>
      </w:r>
      <w:proofErr w:type="gramEnd"/>
      <w:r w:rsidRPr="00E1759D">
        <w:rPr>
          <w:rFonts w:eastAsia="標楷體" w:cstheme="minorHAnsi" w:hint="eastAsia"/>
          <w:b/>
          <w:color w:val="FF0000"/>
          <w:u w:val="single"/>
        </w:rPr>
        <w:t>之職掌範圍，</w:t>
      </w:r>
      <w:proofErr w:type="gramStart"/>
      <w:r w:rsidRPr="00E1759D">
        <w:rPr>
          <w:rFonts w:eastAsia="標楷體" w:cstheme="minorHAnsi" w:hint="eastAsia"/>
          <w:b/>
          <w:color w:val="FF0000"/>
          <w:u w:val="single"/>
        </w:rPr>
        <w:t>健保署宜予以</w:t>
      </w:r>
      <w:proofErr w:type="gramEnd"/>
      <w:r w:rsidRPr="00E1759D">
        <w:rPr>
          <w:rFonts w:eastAsia="標楷體" w:cstheme="minorHAnsi" w:hint="eastAsia"/>
          <w:b/>
          <w:color w:val="FF0000"/>
          <w:u w:val="single"/>
        </w:rPr>
        <w:t>尊重。本辦法第十九條與第二十三條之有關</w:t>
      </w:r>
      <w:r w:rsidRPr="00E1759D">
        <w:rPr>
          <w:rFonts w:eastAsia="標楷體" w:cstheme="minorHAnsi" w:hint="eastAsia"/>
          <w:b/>
          <w:color w:val="FF0000"/>
          <w:u w:val="single"/>
        </w:rPr>
        <w:t>PIC/S GMP</w:t>
      </w:r>
      <w:r w:rsidRPr="00E1759D">
        <w:rPr>
          <w:rFonts w:eastAsia="標楷體" w:cstheme="minorHAnsi" w:hint="eastAsia"/>
          <w:b/>
          <w:color w:val="FF0000"/>
          <w:u w:val="single"/>
        </w:rPr>
        <w:t>之定義，亦</w:t>
      </w:r>
      <w:r>
        <w:rPr>
          <w:rFonts w:eastAsia="標楷體" w:cstheme="minorHAnsi" w:hint="eastAsia"/>
          <w:b/>
          <w:color w:val="FF0000"/>
          <w:u w:val="single"/>
        </w:rPr>
        <w:t>應</w:t>
      </w:r>
      <w:r w:rsidRPr="00E1759D">
        <w:rPr>
          <w:rFonts w:eastAsia="標楷體" w:cstheme="minorHAnsi" w:hint="eastAsia"/>
          <w:b/>
          <w:color w:val="FF0000"/>
          <w:u w:val="single"/>
        </w:rPr>
        <w:t>同上述之建議。</w:t>
      </w:r>
    </w:p>
    <w:p w:rsidR="00D45CC2" w:rsidRPr="00E1759D" w:rsidRDefault="00D45CC2" w:rsidP="007D0AF1">
      <w:pPr>
        <w:snapToGrid w:val="0"/>
        <w:spacing w:beforeLines="50" w:line="240" w:lineRule="atLeast"/>
        <w:rPr>
          <w:rFonts w:eastAsia="標楷體" w:cstheme="minorHAnsi"/>
        </w:rPr>
      </w:pPr>
      <w:r w:rsidRPr="00E1759D">
        <w:rPr>
          <w:rFonts w:eastAsia="標楷體" w:cstheme="minorHAnsi" w:hint="eastAsia"/>
        </w:rPr>
        <w:t>針對</w:t>
      </w:r>
      <w:r w:rsidR="00924EFD" w:rsidRPr="00E1759D">
        <w:rPr>
          <w:rFonts w:eastAsia="標楷體" w:cstheme="minorHAnsi" w:hint="eastAsia"/>
        </w:rPr>
        <w:t>本辦法</w:t>
      </w:r>
      <w:r w:rsidR="00EA61A3" w:rsidRPr="00E1759D">
        <w:rPr>
          <w:rFonts w:eastAsia="標楷體" w:cstheme="minorHAnsi" w:hint="eastAsia"/>
        </w:rPr>
        <w:t>第十九條</w:t>
      </w:r>
      <w:r w:rsidR="003B73F5" w:rsidRPr="00E1759D">
        <w:rPr>
          <w:rFonts w:eastAsia="標楷體" w:cstheme="minorHAnsi" w:hint="eastAsia"/>
        </w:rPr>
        <w:t>與</w:t>
      </w:r>
      <w:r w:rsidR="00067FFB" w:rsidRPr="00E1759D">
        <w:rPr>
          <w:rFonts w:eastAsia="標楷體" w:cstheme="minorHAnsi" w:hint="eastAsia"/>
        </w:rPr>
        <w:t>第二十三條</w:t>
      </w:r>
      <w:r w:rsidRPr="00E1759D">
        <w:rPr>
          <w:rFonts w:eastAsia="標楷體" w:cstheme="minorHAnsi" w:hint="eastAsia"/>
        </w:rPr>
        <w:t>之</w:t>
      </w:r>
      <w:r w:rsidR="003333AF" w:rsidRPr="00E1759D">
        <w:rPr>
          <w:rFonts w:eastAsia="標楷體" w:cstheme="minorHAnsi" w:hint="eastAsia"/>
        </w:rPr>
        <w:t>建議：</w:t>
      </w:r>
    </w:p>
    <w:p w:rsidR="003333AF" w:rsidRPr="00E1759D" w:rsidRDefault="009A2E51" w:rsidP="008E0B41">
      <w:pPr>
        <w:snapToGrid w:val="0"/>
        <w:spacing w:line="240" w:lineRule="atLeast"/>
        <w:ind w:left="850" w:hangingChars="354" w:hanging="850"/>
        <w:rPr>
          <w:rFonts w:eastAsia="標楷體" w:cstheme="minorHAnsi"/>
        </w:rPr>
      </w:pPr>
      <w:r w:rsidRPr="00E1759D">
        <w:rPr>
          <w:rFonts w:eastAsia="標楷體" w:cstheme="minorHAnsi" w:hint="eastAsia"/>
        </w:rPr>
        <w:t>（</w:t>
      </w:r>
      <w:r w:rsidR="003333AF" w:rsidRPr="00E1759D">
        <w:rPr>
          <w:rFonts w:eastAsia="標楷體" w:cstheme="minorHAnsi" w:hint="eastAsia"/>
        </w:rPr>
        <w:t>一</w:t>
      </w:r>
      <w:r w:rsidRPr="00E1759D">
        <w:rPr>
          <w:rFonts w:eastAsia="標楷體" w:cstheme="minorHAnsi" w:hint="eastAsia"/>
        </w:rPr>
        <w:t>）</w:t>
      </w:r>
      <w:r w:rsidRPr="00E1759D">
        <w:rPr>
          <w:rFonts w:eastAsia="標楷體" w:cstheme="minorHAnsi" w:hint="eastAsia"/>
        </w:rPr>
        <w:t xml:space="preserve"> </w:t>
      </w:r>
      <w:r w:rsidR="003333AF" w:rsidRPr="00E1759D">
        <w:rPr>
          <w:rFonts w:eastAsia="標楷體" w:cstheme="minorHAnsi" w:hint="eastAsia"/>
        </w:rPr>
        <w:t>「全民健康保險藥物給付項目及支付標準」第二十三條有關「藥品品質條件之認定標準」第二項『二、劑型製程符合</w:t>
      </w:r>
      <w:r w:rsidR="003333AF" w:rsidRPr="00E1759D">
        <w:rPr>
          <w:rFonts w:eastAsia="標楷體" w:cstheme="minorHAnsi" w:hint="eastAsia"/>
        </w:rPr>
        <w:t>PIC/S GMP</w:t>
      </w:r>
      <w:r w:rsidR="003333AF" w:rsidRPr="00E1759D">
        <w:rPr>
          <w:rFonts w:eastAsia="標楷體" w:cstheme="minorHAnsi" w:hint="eastAsia"/>
        </w:rPr>
        <w:t>之藥品：</w:t>
      </w:r>
      <w:proofErr w:type="gramStart"/>
      <w:r w:rsidR="003333AF" w:rsidRPr="00E1759D">
        <w:rPr>
          <w:rFonts w:eastAsia="標楷體" w:cstheme="minorHAnsi" w:hint="eastAsia"/>
        </w:rPr>
        <w:t>指劑型</w:t>
      </w:r>
      <w:proofErr w:type="gramEnd"/>
      <w:r w:rsidR="003333AF" w:rsidRPr="00E1759D">
        <w:rPr>
          <w:rFonts w:eastAsia="標楷體" w:cstheme="minorHAnsi" w:hint="eastAsia"/>
        </w:rPr>
        <w:t>製程經主管機關實地檢查符合</w:t>
      </w:r>
      <w:r w:rsidR="003333AF" w:rsidRPr="00E1759D">
        <w:rPr>
          <w:rFonts w:eastAsia="標楷體" w:cstheme="minorHAnsi" w:hint="eastAsia"/>
        </w:rPr>
        <w:t>PIC/S GMP</w:t>
      </w:r>
      <w:r w:rsidR="003333AF" w:rsidRPr="00E1759D">
        <w:rPr>
          <w:rFonts w:eastAsia="標楷體" w:cstheme="minorHAnsi" w:hint="eastAsia"/>
        </w:rPr>
        <w:t>，且取得主管機關核發具有效期之證明文</w:t>
      </w:r>
      <w:bookmarkStart w:id="0" w:name="_GoBack"/>
      <w:bookmarkEnd w:id="0"/>
      <w:r w:rsidR="003333AF" w:rsidRPr="00E1759D">
        <w:rPr>
          <w:rFonts w:eastAsia="標楷體" w:cstheme="minorHAnsi" w:hint="eastAsia"/>
        </w:rPr>
        <w:t>件之藥品』之規定，應修改為『二、劑型製程符合</w:t>
      </w:r>
      <w:r w:rsidR="003333AF" w:rsidRPr="00E1759D">
        <w:rPr>
          <w:rFonts w:eastAsia="標楷體" w:cstheme="minorHAnsi" w:hint="eastAsia"/>
        </w:rPr>
        <w:t>PIC/S GMP</w:t>
      </w:r>
      <w:r w:rsidR="003333AF" w:rsidRPr="00E1759D">
        <w:rPr>
          <w:rFonts w:eastAsia="標楷體" w:cstheme="minorHAnsi" w:hint="eastAsia"/>
        </w:rPr>
        <w:t>之藥品：</w:t>
      </w:r>
      <w:proofErr w:type="gramStart"/>
      <w:r w:rsidR="003333AF" w:rsidRPr="00E1759D">
        <w:rPr>
          <w:rFonts w:eastAsia="標楷體" w:cstheme="minorHAnsi" w:hint="eastAsia"/>
        </w:rPr>
        <w:t>指劑型</w:t>
      </w:r>
      <w:proofErr w:type="gramEnd"/>
      <w:r w:rsidR="003333AF" w:rsidRPr="00E1759D">
        <w:rPr>
          <w:rFonts w:eastAsia="標楷體" w:cstheme="minorHAnsi" w:hint="eastAsia"/>
        </w:rPr>
        <w:t>製程經取得主管機關核發</w:t>
      </w:r>
      <w:r w:rsidR="003333AF" w:rsidRPr="00E1759D">
        <w:rPr>
          <w:rFonts w:eastAsia="標楷體" w:cstheme="minorHAnsi" w:hint="eastAsia"/>
        </w:rPr>
        <w:t>PIC/S GMP</w:t>
      </w:r>
      <w:r w:rsidR="003333AF" w:rsidRPr="00E1759D">
        <w:rPr>
          <w:rFonts w:eastAsia="標楷體" w:cstheme="minorHAnsi" w:hint="eastAsia"/>
        </w:rPr>
        <w:t>具有效期之證明文件之藥品』。</w:t>
      </w:r>
    </w:p>
    <w:p w:rsidR="00AD6992" w:rsidRPr="00E1759D" w:rsidRDefault="00AD6992" w:rsidP="008E0B41">
      <w:pPr>
        <w:snapToGrid w:val="0"/>
        <w:spacing w:line="240" w:lineRule="atLeast"/>
        <w:ind w:left="850" w:hangingChars="354" w:hanging="850"/>
        <w:rPr>
          <w:rFonts w:eastAsia="標楷體" w:cstheme="minorHAnsi"/>
        </w:rPr>
      </w:pPr>
    </w:p>
    <w:p w:rsidR="008A2673" w:rsidRDefault="009A2E51" w:rsidP="008E0B41">
      <w:pPr>
        <w:snapToGrid w:val="0"/>
        <w:spacing w:line="240" w:lineRule="atLeast"/>
        <w:ind w:left="850" w:hangingChars="354" w:hanging="850"/>
        <w:rPr>
          <w:rFonts w:eastAsia="標楷體" w:cstheme="minorHAnsi"/>
        </w:rPr>
      </w:pPr>
      <w:r w:rsidRPr="00E1759D">
        <w:rPr>
          <w:rFonts w:eastAsia="標楷體" w:cstheme="minorHAnsi" w:hint="eastAsia"/>
        </w:rPr>
        <w:t>（</w:t>
      </w:r>
      <w:r w:rsidR="00AD6992" w:rsidRPr="00E1759D">
        <w:rPr>
          <w:rFonts w:eastAsia="標楷體" w:cstheme="minorHAnsi" w:hint="eastAsia"/>
        </w:rPr>
        <w:t>二</w:t>
      </w:r>
      <w:r w:rsidRPr="00E1759D">
        <w:rPr>
          <w:rFonts w:eastAsia="標楷體" w:cstheme="minorHAnsi" w:hint="eastAsia"/>
        </w:rPr>
        <w:t>）</w:t>
      </w:r>
      <w:r w:rsidRPr="00E1759D">
        <w:rPr>
          <w:rFonts w:eastAsia="標楷體" w:cstheme="minorHAnsi" w:hint="eastAsia"/>
        </w:rPr>
        <w:t xml:space="preserve"> </w:t>
      </w:r>
      <w:r w:rsidR="003333AF" w:rsidRPr="00E1759D">
        <w:rPr>
          <w:rFonts w:eastAsia="標楷體" w:cstheme="minorHAnsi" w:hint="eastAsia"/>
        </w:rPr>
        <w:t>102</w:t>
      </w:r>
      <w:r w:rsidR="003333AF" w:rsidRPr="00E1759D">
        <w:rPr>
          <w:rFonts w:eastAsia="標楷體" w:cstheme="minorHAnsi" w:hint="eastAsia"/>
        </w:rPr>
        <w:t>年</w:t>
      </w:r>
      <w:r w:rsidR="003333AF" w:rsidRPr="00E1759D">
        <w:rPr>
          <w:rFonts w:eastAsia="標楷體" w:cstheme="minorHAnsi" w:hint="eastAsia"/>
        </w:rPr>
        <w:t>10</w:t>
      </w:r>
      <w:r w:rsidR="003333AF" w:rsidRPr="00E1759D">
        <w:rPr>
          <w:rFonts w:eastAsia="標楷體" w:cstheme="minorHAnsi" w:hint="eastAsia"/>
        </w:rPr>
        <w:t>月</w:t>
      </w:r>
      <w:r w:rsidR="003333AF" w:rsidRPr="00E1759D">
        <w:rPr>
          <w:rFonts w:eastAsia="標楷體" w:cstheme="minorHAnsi" w:hint="eastAsia"/>
        </w:rPr>
        <w:t>2</w:t>
      </w:r>
      <w:r w:rsidR="003333AF" w:rsidRPr="00E1759D">
        <w:rPr>
          <w:rFonts w:eastAsia="標楷體" w:cstheme="minorHAnsi" w:hint="eastAsia"/>
        </w:rPr>
        <w:t>日公告</w:t>
      </w:r>
      <w:proofErr w:type="gramStart"/>
      <w:r w:rsidR="003333AF" w:rsidRPr="00E1759D">
        <w:rPr>
          <w:rFonts w:eastAsia="標楷體" w:cstheme="minorHAnsi" w:hint="eastAsia"/>
        </w:rPr>
        <w:t>之衛部保字</w:t>
      </w:r>
      <w:proofErr w:type="gramEnd"/>
      <w:r w:rsidR="003333AF" w:rsidRPr="00E1759D">
        <w:rPr>
          <w:rFonts w:eastAsia="標楷體" w:cstheme="minorHAnsi" w:hint="eastAsia"/>
        </w:rPr>
        <w:t>第</w:t>
      </w:r>
      <w:r w:rsidR="003333AF" w:rsidRPr="00E1759D">
        <w:rPr>
          <w:rFonts w:eastAsia="標楷體" w:cstheme="minorHAnsi" w:hint="eastAsia"/>
        </w:rPr>
        <w:t>1021280145</w:t>
      </w:r>
      <w:r w:rsidR="003333AF" w:rsidRPr="00E1759D">
        <w:rPr>
          <w:rFonts w:eastAsia="標楷體" w:cstheme="minorHAnsi" w:hint="eastAsia"/>
        </w:rPr>
        <w:t>號「全民健康保險藥品價格調整作業辦法條文」之有關</w:t>
      </w:r>
      <w:r w:rsidR="003333AF" w:rsidRPr="00E1759D">
        <w:rPr>
          <w:rFonts w:eastAsia="標楷體" w:cstheme="minorHAnsi" w:hint="eastAsia"/>
        </w:rPr>
        <w:t>PIC/S GMP</w:t>
      </w:r>
      <w:r w:rsidR="003333AF" w:rsidRPr="00E1759D">
        <w:rPr>
          <w:rFonts w:eastAsia="標楷體" w:cstheme="minorHAnsi" w:hint="eastAsia"/>
        </w:rPr>
        <w:t>之定義，亦同上述之建議。</w:t>
      </w:r>
    </w:p>
    <w:p w:rsidR="00267995" w:rsidRDefault="00267995" w:rsidP="00583D4F">
      <w:pPr>
        <w:snapToGrid w:val="0"/>
        <w:spacing w:line="240" w:lineRule="atLeast"/>
        <w:rPr>
          <w:rFonts w:eastAsia="標楷體" w:cstheme="minorHAnsi"/>
        </w:rPr>
      </w:pPr>
    </w:p>
    <w:p w:rsidR="00AD6992" w:rsidRDefault="00AD6992" w:rsidP="003B73F5">
      <w:pPr>
        <w:widowControl/>
        <w:rPr>
          <w:rFonts w:eastAsia="標楷體" w:cstheme="minorHAnsi"/>
        </w:rPr>
      </w:pPr>
      <w:r>
        <w:rPr>
          <w:rFonts w:eastAsia="標楷體" w:cstheme="minorHAnsi" w:hint="eastAsia"/>
        </w:rPr>
        <w:t>理由：</w:t>
      </w:r>
    </w:p>
    <w:p w:rsidR="003B73F5" w:rsidRPr="003B73F5" w:rsidRDefault="00AD6992" w:rsidP="008E0B41">
      <w:pPr>
        <w:widowControl/>
        <w:ind w:leftChars="177" w:left="706" w:hangingChars="117" w:hanging="281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1. </w:t>
      </w:r>
      <w:r w:rsidR="003B73F5" w:rsidRPr="003B73F5">
        <w:rPr>
          <w:rFonts w:eastAsia="標楷體" w:cstheme="minorHAnsi" w:hint="eastAsia"/>
        </w:rPr>
        <w:t>根據「全民健康保險藥物給付項目及支付標準」第二十三條有關「藥品品質條件之認定標準」第二項『二、劑型製程符合</w:t>
      </w:r>
      <w:r w:rsidR="003B73F5" w:rsidRPr="003B73F5">
        <w:rPr>
          <w:rFonts w:eastAsia="標楷體" w:cstheme="minorHAnsi" w:hint="eastAsia"/>
        </w:rPr>
        <w:t>PIC/S GMP</w:t>
      </w:r>
      <w:r w:rsidR="003B73F5" w:rsidRPr="003B73F5">
        <w:rPr>
          <w:rFonts w:eastAsia="標楷體" w:cstheme="minorHAnsi" w:hint="eastAsia"/>
        </w:rPr>
        <w:t>之藥品：</w:t>
      </w:r>
      <w:proofErr w:type="gramStart"/>
      <w:r w:rsidR="003B73F5" w:rsidRPr="003B73F5">
        <w:rPr>
          <w:rFonts w:eastAsia="標楷體" w:cstheme="minorHAnsi" w:hint="eastAsia"/>
        </w:rPr>
        <w:t>指劑型</w:t>
      </w:r>
      <w:proofErr w:type="gramEnd"/>
      <w:r w:rsidR="003B73F5" w:rsidRPr="003B73F5">
        <w:rPr>
          <w:rFonts w:eastAsia="標楷體" w:cstheme="minorHAnsi" w:hint="eastAsia"/>
        </w:rPr>
        <w:t>製程經主管機關實地檢查符合</w:t>
      </w:r>
      <w:r w:rsidR="003B73F5" w:rsidRPr="003B73F5">
        <w:rPr>
          <w:rFonts w:eastAsia="標楷體" w:cstheme="minorHAnsi" w:hint="eastAsia"/>
        </w:rPr>
        <w:t>PIC/S GMP</w:t>
      </w:r>
      <w:r w:rsidR="003B73F5" w:rsidRPr="003B73F5">
        <w:rPr>
          <w:rFonts w:eastAsia="標楷體" w:cstheme="minorHAnsi" w:hint="eastAsia"/>
        </w:rPr>
        <w:t>，且取得主管機關核發具有效期之證</w:t>
      </w:r>
      <w:r w:rsidR="003B73F5" w:rsidRPr="003B73F5">
        <w:rPr>
          <w:rFonts w:eastAsia="標楷體" w:cstheme="minorHAnsi" w:hint="eastAsia"/>
        </w:rPr>
        <w:lastRenderedPageBreak/>
        <w:t>明文件之藥品』之規定</w:t>
      </w:r>
      <w:r w:rsidR="003B73F5" w:rsidRPr="003B73F5">
        <w:rPr>
          <w:rFonts w:eastAsia="標楷體" w:cstheme="minorHAnsi" w:hint="eastAsia"/>
        </w:rPr>
        <w:t>(</w:t>
      </w:r>
      <w:r w:rsidR="003B73F5" w:rsidRPr="003B73F5">
        <w:rPr>
          <w:rFonts w:eastAsia="標楷體" w:cstheme="minorHAnsi" w:hint="eastAsia"/>
        </w:rPr>
        <w:t>如附件</w:t>
      </w:r>
      <w:r w:rsidR="003B73F5" w:rsidRPr="003B73F5">
        <w:rPr>
          <w:rFonts w:eastAsia="標楷體" w:cstheme="minorHAnsi" w:hint="eastAsia"/>
        </w:rPr>
        <w:t>)</w:t>
      </w:r>
      <w:r w:rsidR="003B73F5" w:rsidRPr="003B73F5">
        <w:rPr>
          <w:rFonts w:eastAsia="標楷體" w:cstheme="minorHAnsi" w:hint="eastAsia"/>
        </w:rPr>
        <w:t>，諸多國外藥廠符合食品藥物管理署</w:t>
      </w:r>
      <w:r w:rsidR="003B73F5" w:rsidRPr="003B73F5">
        <w:rPr>
          <w:rFonts w:eastAsia="標楷體" w:cstheme="minorHAnsi" w:hint="eastAsia"/>
        </w:rPr>
        <w:t xml:space="preserve"> (</w:t>
      </w:r>
      <w:r w:rsidR="003B73F5" w:rsidRPr="003B73F5">
        <w:rPr>
          <w:rFonts w:eastAsia="標楷體" w:cstheme="minorHAnsi" w:hint="eastAsia"/>
        </w:rPr>
        <w:t>以下簡稱</w:t>
      </w:r>
      <w:proofErr w:type="gramStart"/>
      <w:r w:rsidR="003B73F5" w:rsidRPr="003B73F5">
        <w:rPr>
          <w:rFonts w:eastAsia="標楷體" w:cstheme="minorHAnsi" w:hint="eastAsia"/>
        </w:rPr>
        <w:t>食藥署</w:t>
      </w:r>
      <w:proofErr w:type="gramEnd"/>
      <w:r w:rsidR="003B73F5" w:rsidRPr="003B73F5">
        <w:rPr>
          <w:rFonts w:eastAsia="標楷體" w:cstheme="minorHAnsi" w:hint="eastAsia"/>
        </w:rPr>
        <w:t>)</w:t>
      </w:r>
      <w:r w:rsidR="003B73F5" w:rsidRPr="003B73F5">
        <w:rPr>
          <w:rFonts w:eastAsia="標楷體" w:cstheme="minorHAnsi" w:hint="eastAsia"/>
        </w:rPr>
        <w:t>之規定，經書面審核取得核</w:t>
      </w:r>
      <w:proofErr w:type="gramStart"/>
      <w:r w:rsidR="003B73F5" w:rsidRPr="003B73F5">
        <w:rPr>
          <w:rFonts w:eastAsia="標楷體" w:cstheme="minorHAnsi" w:hint="eastAsia"/>
        </w:rPr>
        <w:t>備函者</w:t>
      </w:r>
      <w:proofErr w:type="gramEnd"/>
      <w:r w:rsidR="003B73F5" w:rsidRPr="003B73F5">
        <w:rPr>
          <w:rFonts w:eastAsia="標楷體" w:cstheme="minorHAnsi" w:hint="eastAsia"/>
        </w:rPr>
        <w:t>，仍未能被中央健康</w:t>
      </w:r>
      <w:proofErr w:type="gramStart"/>
      <w:r w:rsidR="003B73F5" w:rsidRPr="003B73F5">
        <w:rPr>
          <w:rFonts w:eastAsia="標楷體" w:cstheme="minorHAnsi" w:hint="eastAsia"/>
        </w:rPr>
        <w:t>保險署</w:t>
      </w:r>
      <w:proofErr w:type="gramEnd"/>
      <w:r w:rsidR="003B73F5" w:rsidRPr="003B73F5">
        <w:rPr>
          <w:rFonts w:eastAsia="標楷體" w:cstheme="minorHAnsi" w:hint="eastAsia"/>
        </w:rPr>
        <w:t>(</w:t>
      </w:r>
      <w:r w:rsidR="003B73F5" w:rsidRPr="003B73F5">
        <w:rPr>
          <w:rFonts w:eastAsia="標楷體" w:cstheme="minorHAnsi" w:hint="eastAsia"/>
        </w:rPr>
        <w:t>以下簡稱健保署</w:t>
      </w:r>
      <w:r w:rsidR="003B73F5" w:rsidRPr="003B73F5">
        <w:rPr>
          <w:rFonts w:eastAsia="標楷體" w:cstheme="minorHAnsi" w:hint="eastAsia"/>
        </w:rPr>
        <w:t>)</w:t>
      </w:r>
      <w:r w:rsidR="003B73F5" w:rsidRPr="003B73F5">
        <w:rPr>
          <w:rFonts w:eastAsia="標楷體" w:cstheme="minorHAnsi" w:hint="eastAsia"/>
        </w:rPr>
        <w:t>認可，導致在核價及調整價格時權益嚴重受損。</w:t>
      </w:r>
    </w:p>
    <w:p w:rsidR="003B73F5" w:rsidRPr="003B73F5" w:rsidRDefault="003B73F5" w:rsidP="008E0B41">
      <w:pPr>
        <w:widowControl/>
        <w:ind w:leftChars="294" w:left="706" w:firstLineChars="1" w:firstLine="2"/>
        <w:rPr>
          <w:rFonts w:eastAsia="標楷體" w:cstheme="minorHAnsi"/>
        </w:rPr>
      </w:pPr>
      <w:r w:rsidRPr="003B73F5">
        <w:rPr>
          <w:rFonts w:eastAsia="標楷體" w:cstheme="minorHAnsi" w:hint="eastAsia"/>
        </w:rPr>
        <w:t>尤其是該條文第三項規範之</w:t>
      </w:r>
      <w:r w:rsidRPr="003B73F5">
        <w:rPr>
          <w:rFonts w:eastAsia="標楷體" w:cstheme="minorHAnsi" w:hint="eastAsia"/>
        </w:rPr>
        <w:t>FDA</w:t>
      </w:r>
      <w:r w:rsidRPr="003B73F5">
        <w:rPr>
          <w:rFonts w:eastAsia="標楷體" w:cstheme="minorHAnsi" w:hint="eastAsia"/>
        </w:rPr>
        <w:t>或</w:t>
      </w:r>
      <w:r w:rsidRPr="003B73F5">
        <w:rPr>
          <w:rFonts w:eastAsia="標楷體" w:cstheme="minorHAnsi" w:hint="eastAsia"/>
        </w:rPr>
        <w:t xml:space="preserve">EMA </w:t>
      </w:r>
      <w:r w:rsidRPr="003B73F5">
        <w:rPr>
          <w:rFonts w:eastAsia="標楷體" w:cstheme="minorHAnsi" w:hint="eastAsia"/>
        </w:rPr>
        <w:t>以外者，如未取得</w:t>
      </w:r>
      <w:r w:rsidRPr="003B73F5">
        <w:rPr>
          <w:rFonts w:eastAsia="標楷體" w:cstheme="minorHAnsi" w:hint="eastAsia"/>
        </w:rPr>
        <w:t>FDA/EMA</w:t>
      </w:r>
      <w:r w:rsidRPr="003B73F5">
        <w:rPr>
          <w:rFonts w:eastAsia="標楷體" w:cstheme="minorHAnsi" w:hint="eastAsia"/>
        </w:rPr>
        <w:t>核准上市之</w:t>
      </w:r>
      <w:r w:rsidRPr="003B73F5">
        <w:rPr>
          <w:rFonts w:eastAsia="標楷體" w:cstheme="minorHAnsi" w:hint="eastAsia"/>
        </w:rPr>
        <w:t>PIC/S</w:t>
      </w:r>
      <w:r w:rsidRPr="003B73F5">
        <w:rPr>
          <w:rFonts w:eastAsia="標楷體" w:cstheme="minorHAnsi" w:hint="eastAsia"/>
        </w:rPr>
        <w:t>會員國家製造輸入之產品，縱使取得</w:t>
      </w:r>
      <w:proofErr w:type="gramStart"/>
      <w:r w:rsidRPr="003B73F5">
        <w:rPr>
          <w:rFonts w:eastAsia="標楷體" w:cstheme="minorHAnsi" w:hint="eastAsia"/>
        </w:rPr>
        <w:t>食藥署</w:t>
      </w:r>
      <w:proofErr w:type="gramEnd"/>
      <w:r w:rsidRPr="003B73F5">
        <w:rPr>
          <w:rFonts w:eastAsia="標楷體" w:cstheme="minorHAnsi" w:hint="eastAsia"/>
        </w:rPr>
        <w:t>之</w:t>
      </w:r>
      <w:proofErr w:type="gramStart"/>
      <w:r w:rsidRPr="003B73F5">
        <w:rPr>
          <w:rFonts w:eastAsia="標楷體" w:cstheme="minorHAnsi" w:hint="eastAsia"/>
        </w:rPr>
        <w:t>核備函</w:t>
      </w:r>
      <w:proofErr w:type="gramEnd"/>
      <w:r w:rsidRPr="003B73F5">
        <w:rPr>
          <w:rFonts w:eastAsia="標楷體" w:cstheme="minorHAnsi" w:hint="eastAsia"/>
        </w:rPr>
        <w:t>，也不被健保署認可，如日本、澳洲、加拿大、瑞士之藥廠。</w:t>
      </w:r>
    </w:p>
    <w:p w:rsidR="00D45CC2" w:rsidRDefault="00D45CC2" w:rsidP="008E0B41">
      <w:pPr>
        <w:widowControl/>
        <w:ind w:leftChars="177" w:left="706" w:hangingChars="117" w:hanging="281"/>
        <w:rPr>
          <w:rFonts w:eastAsia="標楷體" w:cstheme="minorHAnsi"/>
        </w:rPr>
      </w:pPr>
    </w:p>
    <w:p w:rsidR="003B73F5" w:rsidRPr="003B73F5" w:rsidRDefault="00D45CC2" w:rsidP="008E0B41">
      <w:pPr>
        <w:widowControl/>
        <w:ind w:leftChars="177" w:left="706" w:hangingChars="117" w:hanging="281"/>
        <w:rPr>
          <w:rFonts w:eastAsia="標楷體" w:cstheme="minorHAnsi"/>
        </w:rPr>
      </w:pPr>
      <w:r>
        <w:rPr>
          <w:rFonts w:eastAsia="標楷體" w:cstheme="minorHAnsi" w:hint="eastAsia"/>
        </w:rPr>
        <w:t xml:space="preserve">2. </w:t>
      </w:r>
      <w:r w:rsidR="003B73F5" w:rsidRPr="003B73F5">
        <w:rPr>
          <w:rFonts w:eastAsia="標楷體" w:cstheme="minorHAnsi" w:hint="eastAsia"/>
        </w:rPr>
        <w:t>根據</w:t>
      </w:r>
      <w:proofErr w:type="gramStart"/>
      <w:r w:rsidR="003B73F5" w:rsidRPr="003B73F5">
        <w:rPr>
          <w:rFonts w:eastAsia="標楷體" w:cstheme="minorHAnsi" w:hint="eastAsia"/>
        </w:rPr>
        <w:t>食藥署</w:t>
      </w:r>
      <w:proofErr w:type="gramEnd"/>
      <w:r w:rsidR="003B73F5" w:rsidRPr="003B73F5">
        <w:rPr>
          <w:rFonts w:eastAsia="標楷體" w:cstheme="minorHAnsi" w:hint="eastAsia"/>
        </w:rPr>
        <w:t>資料顯示，歷年來曾取得衛生福利部</w:t>
      </w:r>
      <w:r w:rsidR="003B73F5" w:rsidRPr="003B73F5">
        <w:rPr>
          <w:rFonts w:eastAsia="標楷體" w:cstheme="minorHAnsi" w:hint="eastAsia"/>
        </w:rPr>
        <w:t xml:space="preserve">GMP </w:t>
      </w:r>
      <w:r w:rsidR="003B73F5" w:rsidRPr="003B73F5">
        <w:rPr>
          <w:rFonts w:eastAsia="標楷體" w:cstheme="minorHAnsi" w:hint="eastAsia"/>
        </w:rPr>
        <w:t>核備之國外藥廠約計</w:t>
      </w:r>
      <w:r w:rsidR="003B73F5" w:rsidRPr="003B73F5">
        <w:rPr>
          <w:rFonts w:eastAsia="標楷體" w:cstheme="minorHAnsi" w:hint="eastAsia"/>
        </w:rPr>
        <w:t xml:space="preserve"> 1,010</w:t>
      </w:r>
      <w:r w:rsidR="003B73F5" w:rsidRPr="003B73F5">
        <w:rPr>
          <w:rFonts w:eastAsia="標楷體" w:cstheme="minorHAnsi" w:hint="eastAsia"/>
        </w:rPr>
        <w:t>家，符合</w:t>
      </w:r>
      <w:r w:rsidR="003B73F5" w:rsidRPr="003B73F5">
        <w:rPr>
          <w:rFonts w:eastAsia="標楷體" w:cstheme="minorHAnsi" w:hint="eastAsia"/>
        </w:rPr>
        <w:t xml:space="preserve">PIC/S GMP </w:t>
      </w:r>
      <w:r w:rsidR="003B73F5" w:rsidRPr="003B73F5">
        <w:rPr>
          <w:rFonts w:eastAsia="標楷體" w:cstheme="minorHAnsi" w:hint="eastAsia"/>
        </w:rPr>
        <w:t>標準者約</w:t>
      </w:r>
      <w:r w:rsidR="003B73F5" w:rsidRPr="003B73F5">
        <w:rPr>
          <w:rFonts w:eastAsia="標楷體" w:cstheme="minorHAnsi" w:hint="eastAsia"/>
        </w:rPr>
        <w:t>720</w:t>
      </w:r>
      <w:r w:rsidR="003B73F5" w:rsidRPr="003B73F5">
        <w:rPr>
          <w:rFonts w:eastAsia="標楷體" w:cstheme="minorHAnsi" w:hint="eastAsia"/>
        </w:rPr>
        <w:t>家</w:t>
      </w:r>
      <w:r w:rsidR="003B73F5" w:rsidRPr="003B73F5">
        <w:rPr>
          <w:rFonts w:eastAsia="標楷體" w:cstheme="minorHAnsi" w:hint="eastAsia"/>
        </w:rPr>
        <w:t>(</w:t>
      </w:r>
      <w:proofErr w:type="gramStart"/>
      <w:r w:rsidR="003B73F5" w:rsidRPr="003B73F5">
        <w:rPr>
          <w:rFonts w:eastAsia="標楷體" w:cstheme="minorHAnsi" w:hint="eastAsia"/>
        </w:rPr>
        <w:t>依食藥署</w:t>
      </w:r>
      <w:proofErr w:type="gramEnd"/>
      <w:r w:rsidR="003B73F5" w:rsidRPr="003B73F5">
        <w:rPr>
          <w:rFonts w:eastAsia="標楷體" w:cstheme="minorHAnsi" w:hint="eastAsia"/>
        </w:rPr>
        <w:t>101</w:t>
      </w:r>
      <w:r w:rsidR="003B73F5" w:rsidRPr="003B73F5">
        <w:rPr>
          <w:rFonts w:eastAsia="標楷體" w:cstheme="minorHAnsi" w:hint="eastAsia"/>
        </w:rPr>
        <w:t>年初之統計資料</w:t>
      </w:r>
      <w:r w:rsidR="003B73F5" w:rsidRPr="003B73F5">
        <w:rPr>
          <w:rFonts w:eastAsia="標楷體" w:cstheme="minorHAnsi" w:hint="eastAsia"/>
        </w:rPr>
        <w:t>)</w:t>
      </w:r>
      <w:r w:rsidR="003B73F5" w:rsidRPr="003B73F5">
        <w:rPr>
          <w:rFonts w:eastAsia="標楷體" w:cstheme="minorHAnsi" w:hint="eastAsia"/>
        </w:rPr>
        <w:t>。若</w:t>
      </w:r>
      <w:proofErr w:type="gramStart"/>
      <w:r w:rsidR="003B73F5" w:rsidRPr="003B73F5">
        <w:rPr>
          <w:rFonts w:eastAsia="標楷體" w:cstheme="minorHAnsi" w:hint="eastAsia"/>
        </w:rPr>
        <w:t>依食藥署</w:t>
      </w:r>
      <w:proofErr w:type="gramEnd"/>
      <w:r w:rsidR="003B73F5" w:rsidRPr="003B73F5">
        <w:rPr>
          <w:rFonts w:eastAsia="標楷體" w:cstheme="minorHAnsi" w:hint="eastAsia"/>
        </w:rPr>
        <w:t>之現有人力配置資源，一年約可安排</w:t>
      </w:r>
      <w:r w:rsidR="003B73F5" w:rsidRPr="003B73F5">
        <w:rPr>
          <w:rFonts w:eastAsia="標楷體" w:cstheme="minorHAnsi" w:hint="eastAsia"/>
        </w:rPr>
        <w:t xml:space="preserve"> 25</w:t>
      </w:r>
      <w:r w:rsidR="003B73F5" w:rsidRPr="003B73F5">
        <w:rPr>
          <w:rFonts w:eastAsia="標楷體" w:cstheme="minorHAnsi" w:hint="eastAsia"/>
        </w:rPr>
        <w:t>家海外查廠，且</w:t>
      </w:r>
      <w:r w:rsidR="003B73F5" w:rsidRPr="003B73F5">
        <w:rPr>
          <w:rFonts w:eastAsia="標楷體" w:cstheme="minorHAnsi" w:hint="eastAsia"/>
        </w:rPr>
        <w:t>GMP</w:t>
      </w:r>
      <w:r w:rsidR="003B73F5" w:rsidRPr="003B73F5">
        <w:rPr>
          <w:rFonts w:eastAsia="標楷體" w:cstheme="minorHAnsi" w:hint="eastAsia"/>
        </w:rPr>
        <w:t>查廠，包括國內與國外，需二至三年重新查廠一次，估算需約</w:t>
      </w:r>
      <w:r w:rsidR="003B73F5" w:rsidRPr="003B73F5">
        <w:rPr>
          <w:rFonts w:eastAsia="標楷體" w:cstheme="minorHAnsi" w:hint="eastAsia"/>
        </w:rPr>
        <w:t>15</w:t>
      </w:r>
      <w:r w:rsidR="003B73F5" w:rsidRPr="003B73F5">
        <w:rPr>
          <w:rFonts w:eastAsia="標楷體" w:cstheme="minorHAnsi" w:hint="eastAsia"/>
        </w:rPr>
        <w:t>年才能完成全面查廠與複查。因此，依風險管理之方式，美國、歐盟、十大先進國家及</w:t>
      </w:r>
      <w:r w:rsidR="003B73F5" w:rsidRPr="003B73F5">
        <w:rPr>
          <w:rFonts w:eastAsia="標楷體" w:cstheme="minorHAnsi" w:hint="eastAsia"/>
        </w:rPr>
        <w:t>PIC/S</w:t>
      </w:r>
      <w:r w:rsidR="003B73F5" w:rsidRPr="003B73F5">
        <w:rPr>
          <w:rFonts w:eastAsia="標楷體" w:cstheme="minorHAnsi" w:hint="eastAsia"/>
        </w:rPr>
        <w:t>會員國之藥廠，得以書面審查來取代實地查廠。</w:t>
      </w:r>
    </w:p>
    <w:p w:rsidR="003B73F5" w:rsidRPr="003B73F5" w:rsidRDefault="003B73F5" w:rsidP="008E0B41">
      <w:pPr>
        <w:widowControl/>
        <w:ind w:leftChars="294" w:left="706" w:firstLineChars="1" w:firstLine="2"/>
        <w:rPr>
          <w:rFonts w:eastAsia="標楷體" w:cstheme="minorHAnsi"/>
        </w:rPr>
      </w:pPr>
      <w:proofErr w:type="gramStart"/>
      <w:r w:rsidRPr="003B73F5">
        <w:rPr>
          <w:rFonts w:eastAsia="標楷體" w:cstheme="minorHAnsi" w:hint="eastAsia"/>
        </w:rPr>
        <w:t>按貴部</w:t>
      </w:r>
      <w:proofErr w:type="gramEnd"/>
      <w:r w:rsidRPr="003B73F5">
        <w:rPr>
          <w:rFonts w:eastAsia="標楷體" w:cstheme="minorHAnsi" w:hint="eastAsia"/>
        </w:rPr>
        <w:t>之規定，只要</w:t>
      </w:r>
      <w:proofErr w:type="gramStart"/>
      <w:r w:rsidRPr="003B73F5">
        <w:rPr>
          <w:rFonts w:eastAsia="標楷體" w:cstheme="minorHAnsi" w:hint="eastAsia"/>
        </w:rPr>
        <w:t>食藥署</w:t>
      </w:r>
      <w:proofErr w:type="gramEnd"/>
      <w:r w:rsidRPr="003B73F5">
        <w:rPr>
          <w:rFonts w:eastAsia="標楷體" w:cstheme="minorHAnsi" w:hint="eastAsia"/>
        </w:rPr>
        <w:t>核發之證明文件，不論書面審核取得</w:t>
      </w:r>
      <w:proofErr w:type="gramStart"/>
      <w:r w:rsidRPr="003B73F5">
        <w:rPr>
          <w:rFonts w:eastAsia="標楷體" w:cstheme="minorHAnsi" w:hint="eastAsia"/>
        </w:rPr>
        <w:t>核備函或</w:t>
      </w:r>
      <w:proofErr w:type="gramEnd"/>
      <w:r w:rsidRPr="003B73F5">
        <w:rPr>
          <w:rFonts w:eastAsia="標楷體" w:cstheme="minorHAnsi" w:hint="eastAsia"/>
        </w:rPr>
        <w:t>實地檢查符合</w:t>
      </w:r>
      <w:r w:rsidRPr="003B73F5">
        <w:rPr>
          <w:rFonts w:eastAsia="標楷體" w:cstheme="minorHAnsi" w:hint="eastAsia"/>
        </w:rPr>
        <w:t>PIC/S GMP</w:t>
      </w:r>
      <w:r w:rsidRPr="003B73F5">
        <w:rPr>
          <w:rFonts w:eastAsia="標楷體" w:cstheme="minorHAnsi" w:hint="eastAsia"/>
        </w:rPr>
        <w:t>，</w:t>
      </w:r>
      <w:r w:rsidRPr="003B73F5">
        <w:rPr>
          <w:rFonts w:eastAsia="標楷體" w:cstheme="minorHAnsi" w:hint="eastAsia"/>
        </w:rPr>
        <w:t>TFDA</w:t>
      </w:r>
      <w:proofErr w:type="gramStart"/>
      <w:r w:rsidRPr="003B73F5">
        <w:rPr>
          <w:rFonts w:eastAsia="標楷體" w:cstheme="minorHAnsi" w:hint="eastAsia"/>
        </w:rPr>
        <w:t>均依</w:t>
      </w:r>
      <w:proofErr w:type="gramEnd"/>
      <w:r w:rsidRPr="003B73F5">
        <w:rPr>
          <w:rFonts w:eastAsia="標楷體" w:cstheme="minorHAnsi" w:hint="eastAsia"/>
        </w:rPr>
        <w:t>PIC/S GMP</w:t>
      </w:r>
      <w:r w:rsidRPr="003B73F5">
        <w:rPr>
          <w:rFonts w:eastAsia="標楷體" w:cstheme="minorHAnsi" w:hint="eastAsia"/>
        </w:rPr>
        <w:t>標準進行審查。</w:t>
      </w:r>
      <w:r w:rsidRPr="003B73F5">
        <w:rPr>
          <w:rFonts w:eastAsia="標楷體" w:cstheme="minorHAnsi" w:hint="eastAsia"/>
        </w:rPr>
        <w:t>PIC/S GMP</w:t>
      </w:r>
      <w:r w:rsidRPr="003B73F5">
        <w:rPr>
          <w:rFonts w:eastAsia="標楷體" w:cstheme="minorHAnsi" w:hint="eastAsia"/>
        </w:rPr>
        <w:t>藥廠之審核，</w:t>
      </w:r>
      <w:proofErr w:type="gramStart"/>
      <w:r w:rsidRPr="003B73F5">
        <w:rPr>
          <w:rFonts w:eastAsia="標楷體" w:cstheme="minorHAnsi" w:hint="eastAsia"/>
        </w:rPr>
        <w:t>屬食藥署</w:t>
      </w:r>
      <w:proofErr w:type="gramEnd"/>
      <w:r w:rsidRPr="003B73F5">
        <w:rPr>
          <w:rFonts w:eastAsia="標楷體" w:cstheme="minorHAnsi" w:hint="eastAsia"/>
        </w:rPr>
        <w:t>之職掌範圍，</w:t>
      </w:r>
      <w:proofErr w:type="gramStart"/>
      <w:r w:rsidRPr="003B73F5">
        <w:rPr>
          <w:rFonts w:eastAsia="標楷體" w:cstheme="minorHAnsi" w:hint="eastAsia"/>
        </w:rPr>
        <w:t>健保署宜予以</w:t>
      </w:r>
      <w:proofErr w:type="gramEnd"/>
      <w:r w:rsidRPr="003B73F5">
        <w:rPr>
          <w:rFonts w:eastAsia="標楷體" w:cstheme="minorHAnsi" w:hint="eastAsia"/>
        </w:rPr>
        <w:t>尊重。</w:t>
      </w:r>
      <w:r w:rsidRPr="003B73F5">
        <w:rPr>
          <w:rFonts w:eastAsia="標楷體" w:cstheme="minorHAnsi" w:hint="eastAsia"/>
        </w:rPr>
        <w:t xml:space="preserve"> </w:t>
      </w:r>
    </w:p>
    <w:p w:rsidR="00B84E4F" w:rsidRDefault="00B84E4F" w:rsidP="00583D4F">
      <w:pPr>
        <w:snapToGrid w:val="0"/>
        <w:spacing w:line="240" w:lineRule="atLeast"/>
        <w:rPr>
          <w:rFonts w:eastAsia="標楷體" w:cstheme="minorHAnsi"/>
        </w:rPr>
      </w:pPr>
    </w:p>
    <w:p w:rsidR="00F354D0" w:rsidRPr="00510E26" w:rsidRDefault="007962F0" w:rsidP="00F354D0">
      <w:pPr>
        <w:snapToGrid w:val="0"/>
        <w:spacing w:line="240" w:lineRule="atLeast"/>
        <w:rPr>
          <w:rFonts w:eastAsia="標楷體" w:cstheme="minorHAnsi"/>
          <w:b/>
          <w:color w:val="FF0000"/>
          <w:u w:val="single"/>
        </w:rPr>
      </w:pPr>
      <w:r>
        <w:rPr>
          <w:rFonts w:eastAsia="標楷體" w:cstheme="minorHAnsi" w:hint="eastAsia"/>
          <w:b/>
          <w:color w:val="FF0000"/>
          <w:u w:val="single"/>
        </w:rPr>
        <w:t>四、</w:t>
      </w:r>
      <w:r w:rsidR="00F354D0" w:rsidRPr="00510E26">
        <w:rPr>
          <w:rFonts w:eastAsia="標楷體" w:cstheme="minorHAnsi" w:hint="eastAsia"/>
          <w:b/>
          <w:color w:val="FF0000"/>
          <w:u w:val="single"/>
        </w:rPr>
        <w:t>『第三大類藥品』</w:t>
      </w:r>
      <w:r w:rsidR="00937E58" w:rsidRPr="00510E26">
        <w:rPr>
          <w:rFonts w:eastAsia="標楷體" w:cstheme="minorHAnsi" w:hint="eastAsia"/>
          <w:b/>
          <w:color w:val="FF0000"/>
          <w:u w:val="single"/>
        </w:rPr>
        <w:t>第一</w:t>
      </w:r>
      <w:r w:rsidR="004F756E" w:rsidRPr="00510E26">
        <w:rPr>
          <w:rFonts w:eastAsia="標楷體" w:cstheme="minorHAnsi" w:hint="eastAsia"/>
          <w:b/>
          <w:color w:val="FF0000"/>
          <w:u w:val="single"/>
        </w:rPr>
        <w:t>類</w:t>
      </w:r>
      <w:r w:rsidR="00F354D0" w:rsidRPr="00510E26">
        <w:rPr>
          <w:rFonts w:eastAsia="標楷體" w:cstheme="minorHAnsi" w:hint="eastAsia"/>
          <w:b/>
          <w:color w:val="FF0000"/>
          <w:u w:val="single"/>
        </w:rPr>
        <w:t>之</w:t>
      </w:r>
      <w:r w:rsidR="004F756E" w:rsidRPr="00510E26">
        <w:rPr>
          <w:rFonts w:eastAsia="標楷體" w:cstheme="minorHAnsi" w:hint="eastAsia"/>
          <w:b/>
          <w:color w:val="FF0000"/>
          <w:u w:val="single"/>
        </w:rPr>
        <w:t>支付價格調整方式</w:t>
      </w:r>
      <w:r w:rsidR="00F354D0" w:rsidRPr="00510E26">
        <w:rPr>
          <w:rFonts w:eastAsia="標楷體" w:cstheme="minorHAnsi" w:hint="eastAsia"/>
          <w:b/>
          <w:color w:val="FF0000"/>
          <w:u w:val="single"/>
        </w:rPr>
        <w:t>：</w:t>
      </w:r>
    </w:p>
    <w:p w:rsidR="00937E58" w:rsidRPr="00E1759D" w:rsidRDefault="004F756E" w:rsidP="007D0AF1">
      <w:pPr>
        <w:snapToGrid w:val="0"/>
        <w:spacing w:beforeLines="50" w:line="240" w:lineRule="atLeast"/>
        <w:rPr>
          <w:rFonts w:eastAsia="標楷體" w:cstheme="minorHAnsi"/>
          <w:color w:val="FF0000"/>
        </w:rPr>
      </w:pPr>
      <w:r w:rsidRPr="00E1759D">
        <w:rPr>
          <w:rFonts w:eastAsia="標楷體" w:cstheme="minorHAnsi" w:hint="eastAsia"/>
          <w:color w:val="FF0000"/>
        </w:rPr>
        <w:t>『第三大類藥品』第一類：為</w:t>
      </w:r>
      <w:r w:rsidR="00937E58" w:rsidRPr="00E1759D">
        <w:rPr>
          <w:rFonts w:eastAsia="標楷體" w:cstheme="minorHAnsi" w:hint="eastAsia"/>
          <w:color w:val="FF0000"/>
        </w:rPr>
        <w:t>同成分劑型最早納入收載藥品於</w:t>
      </w:r>
      <w:r w:rsidR="00937E58" w:rsidRPr="00E1759D">
        <w:rPr>
          <w:rFonts w:eastAsia="標楷體" w:cstheme="minorHAnsi" w:hint="eastAsia"/>
          <w:color w:val="FF0000"/>
        </w:rPr>
        <w:t>15</w:t>
      </w:r>
      <w:r w:rsidR="00937E58" w:rsidRPr="00E1759D">
        <w:rPr>
          <w:rFonts w:eastAsia="標楷體" w:cstheme="minorHAnsi" w:hint="eastAsia"/>
          <w:color w:val="FF0000"/>
        </w:rPr>
        <w:t>年</w:t>
      </w:r>
      <w:r w:rsidR="00937E58" w:rsidRPr="00E1759D">
        <w:rPr>
          <w:rFonts w:eastAsia="標楷體" w:cstheme="minorHAnsi" w:hint="eastAsia"/>
          <w:color w:val="FF0000"/>
        </w:rPr>
        <w:t>(</w:t>
      </w:r>
      <w:r w:rsidR="00937E58" w:rsidRPr="00E1759D">
        <w:rPr>
          <w:rFonts w:eastAsia="標楷體" w:cstheme="minorHAnsi" w:hint="eastAsia"/>
          <w:color w:val="FF0000"/>
        </w:rPr>
        <w:t>含</w:t>
      </w:r>
      <w:r w:rsidR="00937E58" w:rsidRPr="00E1759D">
        <w:rPr>
          <w:rFonts w:eastAsia="標楷體" w:cstheme="minorHAnsi" w:hint="eastAsia"/>
          <w:color w:val="FF0000"/>
        </w:rPr>
        <w:t>)</w:t>
      </w:r>
      <w:r w:rsidR="00937E58" w:rsidRPr="00E1759D">
        <w:rPr>
          <w:rFonts w:eastAsia="標楷體" w:cstheme="minorHAnsi" w:hint="eastAsia"/>
          <w:color w:val="FF0000"/>
        </w:rPr>
        <w:t>以下者，支付價格調整方式</w:t>
      </w:r>
      <w:r w:rsidR="00267995" w:rsidRPr="00E1759D">
        <w:rPr>
          <w:rFonts w:eastAsia="標楷體" w:cstheme="minorHAnsi" w:hint="eastAsia"/>
          <w:color w:val="FF0000"/>
        </w:rPr>
        <w:t>建議</w:t>
      </w:r>
      <w:r w:rsidR="007962F0" w:rsidRPr="00E1759D">
        <w:rPr>
          <w:rFonts w:eastAsia="標楷體" w:cstheme="minorHAnsi" w:hint="eastAsia"/>
          <w:color w:val="FF0000"/>
        </w:rPr>
        <w:t>，在實施藥品費用分配比率時，應</w:t>
      </w:r>
      <w:r w:rsidR="00267995" w:rsidRPr="00E1759D">
        <w:rPr>
          <w:rFonts w:eastAsia="標楷體" w:cstheme="minorHAnsi" w:hint="eastAsia"/>
          <w:color w:val="FF0000"/>
        </w:rPr>
        <w:t>保留</w:t>
      </w:r>
      <w:r w:rsidR="007962F0" w:rsidRPr="00E1759D">
        <w:rPr>
          <w:rFonts w:eastAsia="標楷體" w:cstheme="minorHAnsi" w:hint="eastAsia"/>
          <w:color w:val="FF0000"/>
        </w:rPr>
        <w:t>本辦法第二十條第二點</w:t>
      </w:r>
      <w:r w:rsidR="00267995" w:rsidRPr="00E1759D">
        <w:rPr>
          <w:rFonts w:eastAsia="標楷體" w:cstheme="minorHAnsi" w:hint="eastAsia"/>
          <w:color w:val="FF0000"/>
        </w:rPr>
        <w:t>『最大調降幅度』之</w:t>
      </w:r>
      <w:r w:rsidR="007962F0" w:rsidRPr="00E1759D">
        <w:rPr>
          <w:rFonts w:eastAsia="標楷體" w:cstheme="minorHAnsi" w:hint="eastAsia"/>
          <w:color w:val="FF0000"/>
        </w:rPr>
        <w:t>各項</w:t>
      </w:r>
      <w:r w:rsidR="00267995" w:rsidRPr="00E1759D">
        <w:rPr>
          <w:rFonts w:eastAsia="標楷體" w:cstheme="minorHAnsi" w:hint="eastAsia"/>
          <w:color w:val="FF0000"/>
        </w:rPr>
        <w:t>規定</w:t>
      </w:r>
      <w:r w:rsidR="008E0B41" w:rsidRPr="00E1759D">
        <w:rPr>
          <w:rFonts w:eastAsia="標楷體" w:cstheme="minorHAnsi" w:hint="eastAsia"/>
          <w:color w:val="FF0000"/>
        </w:rPr>
        <w:t>而只取消</w:t>
      </w:r>
      <w:r w:rsidR="008E0B41" w:rsidRPr="00E1759D">
        <w:rPr>
          <w:rFonts w:eastAsia="標楷體" w:cstheme="minorHAnsi" w:hint="eastAsia"/>
          <w:color w:val="FF0000"/>
        </w:rPr>
        <w:t>40%</w:t>
      </w:r>
      <w:r w:rsidR="008E0B41" w:rsidRPr="00E1759D">
        <w:rPr>
          <w:rFonts w:eastAsia="標楷體" w:cstheme="minorHAnsi" w:hint="eastAsia"/>
          <w:color w:val="FF0000"/>
        </w:rPr>
        <w:t>之最大調幅上限</w:t>
      </w:r>
      <w:r w:rsidR="00267995" w:rsidRPr="00E1759D">
        <w:rPr>
          <w:rFonts w:eastAsia="標楷體" w:cstheme="minorHAnsi" w:hint="eastAsia"/>
          <w:color w:val="FF0000"/>
        </w:rPr>
        <w:t>。</w:t>
      </w:r>
    </w:p>
    <w:p w:rsidR="00937E58" w:rsidRDefault="00937E58" w:rsidP="00583D4F">
      <w:pPr>
        <w:snapToGrid w:val="0"/>
        <w:spacing w:line="240" w:lineRule="atLeast"/>
        <w:rPr>
          <w:rFonts w:eastAsia="標楷體" w:cstheme="minorHAnsi"/>
        </w:rPr>
      </w:pPr>
    </w:p>
    <w:p w:rsidR="00267995" w:rsidRPr="00E1759D" w:rsidRDefault="00D20124" w:rsidP="00267995">
      <w:pPr>
        <w:snapToGrid w:val="0"/>
        <w:spacing w:line="240" w:lineRule="atLeast"/>
        <w:rPr>
          <w:rFonts w:eastAsia="標楷體" w:cstheme="minorHAnsi"/>
          <w:b/>
          <w:color w:val="FF0000"/>
          <w:u w:val="single"/>
        </w:rPr>
      </w:pPr>
      <w:r w:rsidRPr="00E1759D">
        <w:rPr>
          <w:rFonts w:eastAsia="標楷體" w:cstheme="minorHAnsi" w:hint="eastAsia"/>
          <w:b/>
          <w:color w:val="FF0000"/>
          <w:u w:val="single"/>
        </w:rPr>
        <w:t>五、</w:t>
      </w:r>
      <w:r w:rsidR="00267995" w:rsidRPr="00E1759D">
        <w:rPr>
          <w:rFonts w:eastAsia="標楷體" w:cstheme="minorHAnsi" w:hint="eastAsia"/>
          <w:b/>
          <w:color w:val="FF0000"/>
          <w:u w:val="single"/>
        </w:rPr>
        <w:t>『第三大類藥品』第二類之支付價格調整方式：</w:t>
      </w:r>
    </w:p>
    <w:p w:rsidR="008E0B41" w:rsidRPr="00E1759D" w:rsidRDefault="00EA61A3" w:rsidP="007D0AF1">
      <w:pPr>
        <w:snapToGrid w:val="0"/>
        <w:spacing w:beforeLines="50" w:line="240" w:lineRule="atLeast"/>
        <w:ind w:leftChars="101" w:left="806" w:hangingChars="235" w:hanging="564"/>
        <w:rPr>
          <w:rFonts w:eastAsia="標楷體" w:cstheme="minorHAnsi"/>
          <w:color w:val="FF0000"/>
        </w:rPr>
      </w:pPr>
      <w:r w:rsidRPr="00E1759D">
        <w:rPr>
          <w:rFonts w:eastAsia="標楷體" w:cstheme="minorHAnsi" w:hint="eastAsia"/>
          <w:color w:val="FF0000"/>
        </w:rPr>
        <w:t>關於第三大類品項</w:t>
      </w:r>
      <w:r w:rsidR="00067FFB" w:rsidRPr="00E1759D">
        <w:rPr>
          <w:rFonts w:eastAsia="標楷體" w:cstheme="minorHAnsi" w:hint="eastAsia"/>
          <w:color w:val="FF0000"/>
        </w:rPr>
        <w:t>第二類</w:t>
      </w:r>
      <w:r w:rsidRPr="00E1759D">
        <w:rPr>
          <w:rFonts w:eastAsia="標楷體" w:cstheme="minorHAnsi" w:hint="eastAsia"/>
          <w:color w:val="FF0000"/>
        </w:rPr>
        <w:t xml:space="preserve"> (</w:t>
      </w:r>
      <w:r w:rsidR="00D20124" w:rsidRPr="00E1759D">
        <w:rPr>
          <w:rFonts w:eastAsia="標楷體" w:cstheme="minorHAnsi" w:hint="eastAsia"/>
          <w:color w:val="FF0000"/>
        </w:rPr>
        <w:t>本辦法</w:t>
      </w:r>
      <w:r w:rsidRPr="00E1759D">
        <w:rPr>
          <w:rFonts w:eastAsia="標楷體" w:cstheme="minorHAnsi" w:hint="eastAsia"/>
          <w:color w:val="FF0000"/>
        </w:rPr>
        <w:t>第十九條、第二十一條</w:t>
      </w:r>
      <w:r w:rsidRPr="00E1759D">
        <w:rPr>
          <w:rFonts w:eastAsia="標楷體" w:cstheme="minorHAnsi" w:hint="eastAsia"/>
          <w:color w:val="FF0000"/>
        </w:rPr>
        <w:t>)</w:t>
      </w:r>
      <w:r w:rsidR="00EE5CAE" w:rsidRPr="00E1759D">
        <w:rPr>
          <w:rFonts w:hint="eastAsia"/>
          <w:color w:val="FF0000"/>
        </w:rPr>
        <w:t xml:space="preserve"> </w:t>
      </w:r>
      <w:r w:rsidR="00EE5CAE" w:rsidRPr="00E1759D">
        <w:rPr>
          <w:rFonts w:eastAsia="標楷體" w:cstheme="minorHAnsi" w:hint="eastAsia"/>
          <w:color w:val="FF0000"/>
        </w:rPr>
        <w:t>之支付價格調整方</w:t>
      </w:r>
    </w:p>
    <w:p w:rsidR="008E0B41" w:rsidRPr="00E1759D" w:rsidRDefault="00EE5CAE" w:rsidP="008E0B41">
      <w:pPr>
        <w:snapToGrid w:val="0"/>
        <w:spacing w:line="240" w:lineRule="atLeast"/>
        <w:ind w:leftChars="101" w:left="806" w:hangingChars="235" w:hanging="564"/>
        <w:rPr>
          <w:rFonts w:eastAsia="標楷體" w:cstheme="minorHAnsi"/>
          <w:color w:val="FF0000"/>
        </w:rPr>
      </w:pPr>
      <w:r w:rsidRPr="00E1759D">
        <w:rPr>
          <w:rFonts w:eastAsia="標楷體" w:cstheme="minorHAnsi" w:hint="eastAsia"/>
          <w:color w:val="FF0000"/>
        </w:rPr>
        <w:t>式，</w:t>
      </w:r>
      <w:r w:rsidR="00EA61A3" w:rsidRPr="00E1759D">
        <w:rPr>
          <w:rFonts w:eastAsia="標楷體" w:cstheme="minorHAnsi" w:hint="eastAsia"/>
          <w:color w:val="FF0000"/>
        </w:rPr>
        <w:t>吾等公、協會強烈反對貿然實施「同成分、同品質、同價格」</w:t>
      </w:r>
      <w:r w:rsidR="004B56ED" w:rsidRPr="00E1759D">
        <w:rPr>
          <w:rFonts w:eastAsia="標楷體" w:cstheme="minorHAnsi" w:hint="eastAsia"/>
          <w:color w:val="FF0000"/>
        </w:rPr>
        <w:t xml:space="preserve"> </w:t>
      </w:r>
      <w:r w:rsidR="00EA61A3" w:rsidRPr="00E1759D">
        <w:rPr>
          <w:rFonts w:eastAsia="標楷體" w:cstheme="minorHAnsi" w:hint="eastAsia"/>
          <w:color w:val="FF0000"/>
        </w:rPr>
        <w:t>(</w:t>
      </w:r>
      <w:r w:rsidR="00EA61A3" w:rsidRPr="00E1759D">
        <w:rPr>
          <w:rFonts w:eastAsia="標楷體" w:cstheme="minorHAnsi" w:hint="eastAsia"/>
          <w:color w:val="FF0000"/>
        </w:rPr>
        <w:t>簡稱三同</w:t>
      </w:r>
      <w:r w:rsidR="00EA61A3" w:rsidRPr="00E1759D">
        <w:rPr>
          <w:rFonts w:eastAsia="標楷體" w:cstheme="minorHAnsi" w:hint="eastAsia"/>
          <w:color w:val="FF0000"/>
        </w:rPr>
        <w:t>)</w:t>
      </w:r>
    </w:p>
    <w:p w:rsidR="00EA61A3" w:rsidRPr="009A2E51" w:rsidRDefault="00EA61A3" w:rsidP="008E0B41">
      <w:pPr>
        <w:snapToGrid w:val="0"/>
        <w:spacing w:line="240" w:lineRule="atLeast"/>
        <w:ind w:leftChars="101" w:left="806" w:hangingChars="235" w:hanging="564"/>
        <w:rPr>
          <w:rFonts w:eastAsia="標楷體" w:cstheme="minorHAnsi"/>
        </w:rPr>
      </w:pPr>
      <w:r w:rsidRPr="009A2E51">
        <w:rPr>
          <w:rFonts w:eastAsia="標楷體" w:cstheme="minorHAnsi" w:hint="eastAsia"/>
        </w:rPr>
        <w:t>理由如下：</w:t>
      </w:r>
      <w:r w:rsidR="00540AA9">
        <w:rPr>
          <w:rFonts w:eastAsia="標楷體" w:cstheme="minorHAnsi"/>
        </w:rPr>
        <w:br/>
      </w:r>
    </w:p>
    <w:p w:rsidR="00EA61A3" w:rsidRPr="009A2E51" w:rsidRDefault="009A2E51" w:rsidP="008E0B41">
      <w:pPr>
        <w:snapToGrid w:val="0"/>
        <w:spacing w:line="240" w:lineRule="atLeast"/>
        <w:ind w:leftChars="101" w:left="806" w:hangingChars="235" w:hanging="564"/>
        <w:rPr>
          <w:rFonts w:eastAsia="標楷體" w:cstheme="minorHAnsi"/>
        </w:rPr>
      </w:pPr>
      <w:r w:rsidRPr="009A2E51">
        <w:rPr>
          <w:rFonts w:eastAsia="標楷體" w:cstheme="minorHAnsi" w:hint="eastAsia"/>
        </w:rPr>
        <w:t>（</w:t>
      </w:r>
      <w:r w:rsidR="00EA61A3" w:rsidRPr="009A2E51">
        <w:rPr>
          <w:rFonts w:eastAsia="標楷體" w:cstheme="minorHAnsi" w:hint="eastAsia"/>
        </w:rPr>
        <w:t>一</w:t>
      </w:r>
      <w:r w:rsidRPr="009A2E51">
        <w:rPr>
          <w:rFonts w:eastAsia="標楷體" w:cstheme="minorHAnsi" w:hint="eastAsia"/>
        </w:rPr>
        <w:t>）</w:t>
      </w:r>
      <w:r>
        <w:rPr>
          <w:rFonts w:eastAsia="標楷體" w:cstheme="minorHAnsi" w:hint="eastAsia"/>
        </w:rPr>
        <w:t xml:space="preserve"> </w:t>
      </w:r>
      <w:r w:rsidR="00EA61A3" w:rsidRPr="009A2E51">
        <w:rPr>
          <w:rFonts w:eastAsia="標楷體" w:cstheme="minorHAnsi" w:hint="eastAsia"/>
        </w:rPr>
        <w:t xml:space="preserve">97 </w:t>
      </w:r>
      <w:r w:rsidR="00EA61A3" w:rsidRPr="009A2E51">
        <w:rPr>
          <w:rFonts w:eastAsia="標楷體" w:cstheme="minorHAnsi" w:hint="eastAsia"/>
        </w:rPr>
        <w:t>年「藥品政策全國會議」之結論，</w:t>
      </w:r>
      <w:proofErr w:type="gramStart"/>
      <w:r w:rsidR="00EA61A3" w:rsidRPr="009A2E51">
        <w:rPr>
          <w:rFonts w:eastAsia="標楷體" w:cstheme="minorHAnsi" w:hint="eastAsia"/>
        </w:rPr>
        <w:t>對於劑</w:t>
      </w:r>
      <w:proofErr w:type="gramEnd"/>
      <w:r w:rsidR="00EA61A3" w:rsidRPr="009A2E51">
        <w:rPr>
          <w:rFonts w:eastAsia="標楷體" w:cstheme="minorHAnsi" w:hint="eastAsia"/>
        </w:rPr>
        <w:t>型製程符合</w:t>
      </w:r>
      <w:r w:rsidR="00EA61A3" w:rsidRPr="009A2E51">
        <w:rPr>
          <w:rFonts w:eastAsia="標楷體" w:cstheme="minorHAnsi" w:hint="eastAsia"/>
        </w:rPr>
        <w:t xml:space="preserve">PIC/S GMP </w:t>
      </w:r>
      <w:r w:rsidR="00EA61A3" w:rsidRPr="009A2E51">
        <w:rPr>
          <w:rFonts w:eastAsia="標楷體" w:cstheme="minorHAnsi" w:hint="eastAsia"/>
        </w:rPr>
        <w:t>或歐盟</w:t>
      </w:r>
      <w:r w:rsidR="00EA61A3" w:rsidRPr="009A2E51">
        <w:rPr>
          <w:rFonts w:eastAsia="標楷體" w:cstheme="minorHAnsi" w:hint="eastAsia"/>
        </w:rPr>
        <w:t>EMA</w:t>
      </w:r>
      <w:r w:rsidR="00EA61A3" w:rsidRPr="009A2E51">
        <w:rPr>
          <w:rFonts w:eastAsia="標楷體" w:cstheme="minorHAnsi" w:hint="eastAsia"/>
        </w:rPr>
        <w:t>、美國</w:t>
      </w:r>
      <w:r w:rsidR="00EA61A3" w:rsidRPr="009A2E51">
        <w:rPr>
          <w:rFonts w:eastAsia="標楷體" w:cstheme="minorHAnsi" w:hint="eastAsia"/>
        </w:rPr>
        <w:t xml:space="preserve">FDA </w:t>
      </w:r>
      <w:r w:rsidR="00EA61A3" w:rsidRPr="009A2E51">
        <w:rPr>
          <w:rFonts w:eastAsia="標楷體" w:cstheme="minorHAnsi" w:hint="eastAsia"/>
        </w:rPr>
        <w:t>核准，原料藥具備</w:t>
      </w:r>
      <w:r w:rsidR="00EA61A3" w:rsidRPr="009A2E51">
        <w:rPr>
          <w:rFonts w:eastAsia="標楷體" w:cstheme="minorHAnsi" w:hint="eastAsia"/>
        </w:rPr>
        <w:t>Drug Master File</w:t>
      </w:r>
      <w:r w:rsidR="00EA61A3" w:rsidRPr="009A2E51">
        <w:rPr>
          <w:rFonts w:eastAsia="標楷體" w:cstheme="minorHAnsi" w:hint="eastAsia"/>
        </w:rPr>
        <w:t>，及便民包裝提升品質誘因，其意旨乃在保障民眾用藥品質之前提下，鼓勵優質學名藥及早進入市場競爭，逐步落實三同。</w:t>
      </w:r>
    </w:p>
    <w:p w:rsidR="009A2E51" w:rsidRDefault="009A2E51" w:rsidP="008E0B41">
      <w:pPr>
        <w:snapToGrid w:val="0"/>
        <w:spacing w:line="240" w:lineRule="atLeast"/>
        <w:ind w:leftChars="101" w:left="806" w:hangingChars="235" w:hanging="564"/>
        <w:rPr>
          <w:rFonts w:eastAsia="標楷體" w:cstheme="minorHAnsi"/>
        </w:rPr>
      </w:pPr>
    </w:p>
    <w:p w:rsidR="00436048" w:rsidRPr="009A2E51" w:rsidRDefault="009A2E51" w:rsidP="008E0B41">
      <w:pPr>
        <w:snapToGrid w:val="0"/>
        <w:spacing w:line="240" w:lineRule="atLeast"/>
        <w:ind w:leftChars="101" w:left="806" w:hangingChars="235" w:hanging="564"/>
        <w:rPr>
          <w:rFonts w:eastAsia="標楷體" w:cstheme="minorHAnsi"/>
        </w:rPr>
      </w:pPr>
      <w:r w:rsidRPr="009A2E51">
        <w:rPr>
          <w:rFonts w:eastAsia="標楷體" w:cstheme="minorHAnsi" w:hint="eastAsia"/>
        </w:rPr>
        <w:t>（</w:t>
      </w:r>
      <w:r w:rsidR="00EA61A3" w:rsidRPr="009A2E51">
        <w:rPr>
          <w:rFonts w:eastAsia="標楷體" w:cstheme="minorHAnsi" w:hint="eastAsia"/>
        </w:rPr>
        <w:t>二</w:t>
      </w:r>
      <w:r w:rsidRPr="009A2E51">
        <w:rPr>
          <w:rFonts w:eastAsia="標楷體" w:cstheme="minorHAnsi" w:hint="eastAsia"/>
        </w:rPr>
        <w:t>）</w:t>
      </w:r>
      <w:r>
        <w:rPr>
          <w:rFonts w:eastAsia="標楷體" w:cstheme="minorHAnsi" w:hint="eastAsia"/>
        </w:rPr>
        <w:t xml:space="preserve"> </w:t>
      </w:r>
      <w:r w:rsidR="00EA61A3" w:rsidRPr="009A2E51">
        <w:rPr>
          <w:rFonts w:eastAsia="標楷體" w:cstheme="minorHAnsi" w:hint="eastAsia"/>
        </w:rPr>
        <w:t>為落實「藥品政策全國會議」之結論，食品藥物管理署已著手規劃藥品品質國際接軌政策，定義與品質相關政策為</w:t>
      </w:r>
      <w:r w:rsidR="00EA61A3" w:rsidRPr="009A2E51">
        <w:rPr>
          <w:rFonts w:eastAsia="標楷體" w:cstheme="minorHAnsi" w:hint="eastAsia"/>
        </w:rPr>
        <w:t>DMF</w:t>
      </w:r>
      <w:r w:rsidR="00EA61A3" w:rsidRPr="009A2E51">
        <w:rPr>
          <w:rFonts w:eastAsia="標楷體" w:cstheme="minorHAnsi" w:hint="eastAsia"/>
        </w:rPr>
        <w:t>、</w:t>
      </w:r>
      <w:r w:rsidR="00EA61A3" w:rsidRPr="009A2E51">
        <w:rPr>
          <w:rFonts w:eastAsia="標楷體" w:cstheme="minorHAnsi" w:hint="eastAsia"/>
        </w:rPr>
        <w:t>PIC/S GMP</w:t>
      </w:r>
      <w:r w:rsidR="00EA61A3" w:rsidRPr="009A2E51">
        <w:rPr>
          <w:rFonts w:eastAsia="標楷體" w:cstheme="minorHAnsi" w:hint="eastAsia"/>
        </w:rPr>
        <w:t>、</w:t>
      </w:r>
      <w:proofErr w:type="gramStart"/>
      <w:r w:rsidR="00EA61A3" w:rsidRPr="009A2E51">
        <w:rPr>
          <w:rFonts w:eastAsia="標楷體" w:cstheme="minorHAnsi" w:hint="eastAsia"/>
        </w:rPr>
        <w:t>賦形劑標示</w:t>
      </w:r>
      <w:proofErr w:type="gramEnd"/>
      <w:r w:rsidR="00EA61A3" w:rsidRPr="009A2E51">
        <w:rPr>
          <w:rFonts w:eastAsia="標楷體" w:cstheme="minorHAnsi" w:hint="eastAsia"/>
        </w:rPr>
        <w:t>/</w:t>
      </w:r>
      <w:r w:rsidR="00EA61A3" w:rsidRPr="009A2E51">
        <w:rPr>
          <w:rFonts w:eastAsia="標楷體" w:cstheme="minorHAnsi" w:hint="eastAsia"/>
        </w:rPr>
        <w:t>包材、儲存及運送等之管理，並宣示於</w:t>
      </w:r>
      <w:r w:rsidR="00EA61A3" w:rsidRPr="009A2E51">
        <w:rPr>
          <w:rFonts w:eastAsia="標楷體" w:cstheme="minorHAnsi" w:hint="eastAsia"/>
        </w:rPr>
        <w:t xml:space="preserve">108 </w:t>
      </w:r>
      <w:r w:rsidR="00EA61A3" w:rsidRPr="009A2E51">
        <w:rPr>
          <w:rFonts w:eastAsia="標楷體" w:cstheme="minorHAnsi" w:hint="eastAsia"/>
        </w:rPr>
        <w:t>年達成</w:t>
      </w:r>
      <w:r w:rsidR="00B36D49" w:rsidRPr="009A2E51">
        <w:rPr>
          <w:rFonts w:eastAsia="標楷體" w:cstheme="minorHAnsi" w:hint="eastAsia"/>
        </w:rPr>
        <w:t xml:space="preserve"> </w:t>
      </w:r>
      <w:r w:rsidR="00EA61A3" w:rsidRPr="009A2E51">
        <w:rPr>
          <w:rFonts w:eastAsia="標楷體" w:cstheme="minorHAnsi" w:hint="eastAsia"/>
          <w:highlight w:val="yellow"/>
        </w:rPr>
        <w:t>(</w:t>
      </w:r>
      <w:r w:rsidR="00EA61A3" w:rsidRPr="009A2E51">
        <w:rPr>
          <w:rFonts w:eastAsia="標楷體" w:cstheme="minorHAnsi" w:hint="eastAsia"/>
          <w:highlight w:val="yellow"/>
        </w:rPr>
        <w:t>如附件</w:t>
      </w:r>
      <w:r w:rsidR="001A273B">
        <w:rPr>
          <w:rFonts w:eastAsia="標楷體" w:cstheme="minorHAnsi" w:hint="eastAsia"/>
          <w:highlight w:val="yellow"/>
        </w:rPr>
        <w:t>一</w:t>
      </w:r>
      <w:r w:rsidR="00EA61A3" w:rsidRPr="009A2E51">
        <w:rPr>
          <w:rFonts w:eastAsia="標楷體" w:cstheme="minorHAnsi" w:hint="eastAsia"/>
          <w:highlight w:val="yellow"/>
        </w:rPr>
        <w:t>)</w:t>
      </w:r>
      <w:r w:rsidR="00EA61A3" w:rsidRPr="009A2E51">
        <w:rPr>
          <w:rFonts w:eastAsia="標楷體" w:cstheme="minorHAnsi" w:hint="eastAsia"/>
        </w:rPr>
        <w:t>。</w:t>
      </w:r>
    </w:p>
    <w:p w:rsidR="00510E26" w:rsidRPr="009A2E51" w:rsidRDefault="00510E26" w:rsidP="008E0B41">
      <w:pPr>
        <w:snapToGrid w:val="0"/>
        <w:spacing w:line="240" w:lineRule="atLeast"/>
        <w:ind w:leftChars="101" w:left="806" w:hangingChars="235" w:hanging="564"/>
        <w:rPr>
          <w:rFonts w:eastAsia="標楷體" w:cstheme="minorHAnsi"/>
        </w:rPr>
      </w:pPr>
    </w:p>
    <w:p w:rsidR="00EA61A3" w:rsidRPr="009A2E51" w:rsidRDefault="009A2E51" w:rsidP="008E0B41">
      <w:pPr>
        <w:snapToGrid w:val="0"/>
        <w:spacing w:line="240" w:lineRule="atLeast"/>
        <w:ind w:leftChars="101" w:left="806" w:hangingChars="235" w:hanging="564"/>
        <w:rPr>
          <w:rFonts w:eastAsia="標楷體" w:cstheme="minorHAnsi"/>
        </w:rPr>
      </w:pPr>
      <w:r w:rsidRPr="009A2E51">
        <w:rPr>
          <w:rFonts w:eastAsia="標楷體" w:cstheme="minorHAnsi" w:hint="eastAsia"/>
        </w:rPr>
        <w:t>（</w:t>
      </w:r>
      <w:r w:rsidR="00EA61A3" w:rsidRPr="009A2E51">
        <w:rPr>
          <w:rFonts w:eastAsia="標楷體" w:cstheme="minorHAnsi" w:hint="eastAsia"/>
        </w:rPr>
        <w:t>三</w:t>
      </w:r>
      <w:r w:rsidRPr="009A2E51">
        <w:rPr>
          <w:rFonts w:eastAsia="標楷體" w:cstheme="minorHAnsi" w:hint="eastAsia"/>
        </w:rPr>
        <w:t>）</w:t>
      </w:r>
      <w:r>
        <w:rPr>
          <w:rFonts w:eastAsia="標楷體" w:cstheme="minorHAnsi" w:hint="eastAsia"/>
        </w:rPr>
        <w:t xml:space="preserve"> </w:t>
      </w:r>
      <w:r w:rsidR="00EA61A3" w:rsidRPr="009A2E51">
        <w:rPr>
          <w:rFonts w:eastAsia="標楷體" w:cstheme="minorHAnsi" w:hint="eastAsia"/>
        </w:rPr>
        <w:t>條文第</w:t>
      </w:r>
      <w:r w:rsidR="00EA61A3" w:rsidRPr="009A2E51">
        <w:rPr>
          <w:rFonts w:eastAsia="標楷體" w:cstheme="minorHAnsi" w:hint="eastAsia"/>
        </w:rPr>
        <w:t xml:space="preserve">19 </w:t>
      </w:r>
      <w:r w:rsidR="00EA61A3" w:rsidRPr="009A2E51">
        <w:rPr>
          <w:rFonts w:eastAsia="標楷體" w:cstheme="minorHAnsi" w:hint="eastAsia"/>
        </w:rPr>
        <w:t>條，將品質分類簡化為「原開發廠藥品、劑型製程符合</w:t>
      </w:r>
      <w:r w:rsidR="00EA61A3" w:rsidRPr="009A2E51">
        <w:rPr>
          <w:rFonts w:eastAsia="標楷體" w:cstheme="minorHAnsi" w:hint="eastAsia"/>
        </w:rPr>
        <w:t xml:space="preserve">PIC/SGMP </w:t>
      </w:r>
      <w:r w:rsidR="00EA61A3" w:rsidRPr="009A2E51">
        <w:rPr>
          <w:rFonts w:eastAsia="標楷體" w:cstheme="minorHAnsi" w:hint="eastAsia"/>
        </w:rPr>
        <w:t>之藥品、</w:t>
      </w:r>
      <w:r w:rsidR="00EA61A3" w:rsidRPr="009A2E51">
        <w:rPr>
          <w:rFonts w:eastAsia="標楷體" w:cstheme="minorHAnsi" w:hint="eastAsia"/>
        </w:rPr>
        <w:t xml:space="preserve">FDA/EMA </w:t>
      </w:r>
      <w:r w:rsidR="00EA61A3" w:rsidRPr="009A2E51">
        <w:rPr>
          <w:rFonts w:eastAsia="標楷體" w:cstheme="minorHAnsi" w:hint="eastAsia"/>
        </w:rPr>
        <w:t>核准上市之藥品」及一般學名藥等兩類，忽略至關重要之原料藥管理及日前發生之嚴重違反</w:t>
      </w:r>
      <w:r w:rsidR="00EA61A3" w:rsidRPr="009A2E51">
        <w:rPr>
          <w:rFonts w:eastAsia="標楷體" w:cstheme="minorHAnsi" w:hint="eastAsia"/>
        </w:rPr>
        <w:t xml:space="preserve">GMP </w:t>
      </w:r>
      <w:r w:rsidR="00EA61A3" w:rsidRPr="009A2E51">
        <w:rPr>
          <w:rFonts w:eastAsia="標楷體" w:cstheme="minorHAnsi" w:hint="eastAsia"/>
        </w:rPr>
        <w:t>之委託食品廠包裝等重要事項，對於努力於原料藥管理之學名藥並不公平，也</w:t>
      </w:r>
      <w:proofErr w:type="gramStart"/>
      <w:r w:rsidR="00EA61A3" w:rsidRPr="009A2E51">
        <w:rPr>
          <w:rFonts w:eastAsia="標楷體" w:cstheme="minorHAnsi" w:hint="eastAsia"/>
        </w:rPr>
        <w:t>凸</w:t>
      </w:r>
      <w:proofErr w:type="gramEnd"/>
      <w:r w:rsidR="00EA61A3" w:rsidRPr="009A2E51">
        <w:rPr>
          <w:rFonts w:eastAsia="標楷體" w:cstheme="minorHAnsi" w:hint="eastAsia"/>
        </w:rPr>
        <w:t>顯了政府施政方向不一致。且明顯與</w:t>
      </w:r>
      <w:r w:rsidR="00EA61A3" w:rsidRPr="009A2E51">
        <w:rPr>
          <w:rFonts w:eastAsia="標楷體" w:cstheme="minorHAnsi" w:hint="eastAsia"/>
        </w:rPr>
        <w:t xml:space="preserve"> </w:t>
      </w:r>
      <w:proofErr w:type="gramStart"/>
      <w:r w:rsidR="00EA61A3" w:rsidRPr="009A2E51">
        <w:rPr>
          <w:rFonts w:eastAsia="標楷體" w:cstheme="minorHAnsi" w:hint="eastAsia"/>
        </w:rPr>
        <w:t>貴署</w:t>
      </w:r>
      <w:proofErr w:type="gramEnd"/>
      <w:r w:rsidR="00EA61A3" w:rsidRPr="009A2E51">
        <w:rPr>
          <w:rFonts w:eastAsia="標楷體" w:cstheme="minorHAnsi" w:hint="eastAsia"/>
        </w:rPr>
        <w:t>「全民健康保險藥物給付項目及支付標準」第二十四條藥品品質條件之分級相牴觸，造成藥品在核價與調整價格時之品質條件定義不一</w:t>
      </w:r>
      <w:r w:rsidR="00EA61A3" w:rsidRPr="009A2E51">
        <w:rPr>
          <w:rFonts w:eastAsia="標楷體" w:cstheme="minorHAnsi" w:hint="eastAsia"/>
        </w:rPr>
        <w:lastRenderedPageBreak/>
        <w:t>致，各界將無所適從。</w:t>
      </w:r>
    </w:p>
    <w:p w:rsidR="00075D02" w:rsidRPr="009A2E51" w:rsidRDefault="00075D02" w:rsidP="008E0B41">
      <w:pPr>
        <w:snapToGrid w:val="0"/>
        <w:spacing w:line="240" w:lineRule="atLeast"/>
        <w:ind w:leftChars="101" w:left="806" w:hangingChars="235" w:hanging="564"/>
        <w:rPr>
          <w:rFonts w:eastAsia="標楷體" w:cstheme="minorHAnsi"/>
        </w:rPr>
      </w:pPr>
    </w:p>
    <w:p w:rsidR="00EA61A3" w:rsidRPr="0020307A" w:rsidRDefault="00EA61A3" w:rsidP="008E0B41">
      <w:pPr>
        <w:snapToGrid w:val="0"/>
        <w:spacing w:line="240" w:lineRule="atLeast"/>
        <w:ind w:leftChars="201" w:left="952" w:hangingChars="235" w:hanging="470"/>
        <w:rPr>
          <w:rFonts w:eastAsia="標楷體" w:cstheme="minorHAnsi"/>
          <w:sz w:val="20"/>
          <w:szCs w:val="20"/>
        </w:rPr>
      </w:pPr>
      <w:r w:rsidRPr="0020307A">
        <w:rPr>
          <w:rFonts w:eastAsia="標楷體" w:cstheme="minorHAnsi" w:hint="eastAsia"/>
          <w:sz w:val="20"/>
          <w:szCs w:val="20"/>
        </w:rPr>
        <w:t>全民健康保險藥物給付項目及支付標準」第二十四條藥品品質條件之分級如下：</w:t>
      </w:r>
    </w:p>
    <w:p w:rsidR="00EA61A3" w:rsidRPr="0020307A" w:rsidRDefault="00EA61A3" w:rsidP="008E0B41">
      <w:pPr>
        <w:snapToGrid w:val="0"/>
        <w:spacing w:line="240" w:lineRule="atLeast"/>
        <w:ind w:leftChars="201" w:left="952" w:hangingChars="235" w:hanging="470"/>
        <w:rPr>
          <w:rFonts w:eastAsia="標楷體" w:cstheme="minorHAnsi"/>
          <w:sz w:val="20"/>
          <w:szCs w:val="20"/>
        </w:rPr>
      </w:pPr>
      <w:r w:rsidRPr="0020307A">
        <w:rPr>
          <w:rFonts w:eastAsia="標楷體" w:cstheme="minorHAnsi" w:hint="eastAsia"/>
          <w:sz w:val="20"/>
          <w:szCs w:val="20"/>
        </w:rPr>
        <w:t>A</w:t>
      </w:r>
      <w:r w:rsidRPr="0020307A">
        <w:rPr>
          <w:rFonts w:eastAsia="標楷體" w:cstheme="minorHAnsi" w:hint="eastAsia"/>
          <w:sz w:val="20"/>
          <w:szCs w:val="20"/>
        </w:rPr>
        <w:t>級：指符合</w:t>
      </w:r>
      <w:r w:rsidRPr="0020307A">
        <w:rPr>
          <w:rFonts w:eastAsia="標楷體" w:cstheme="minorHAnsi" w:hint="eastAsia"/>
          <w:sz w:val="20"/>
          <w:szCs w:val="20"/>
        </w:rPr>
        <w:t>PIC/S GMP</w:t>
      </w:r>
      <w:r w:rsidRPr="0020307A">
        <w:rPr>
          <w:rFonts w:eastAsia="標楷體" w:cstheme="minorHAnsi" w:hint="eastAsia"/>
          <w:sz w:val="20"/>
          <w:szCs w:val="20"/>
        </w:rPr>
        <w:t>或</w:t>
      </w:r>
      <w:r w:rsidRPr="0020307A">
        <w:rPr>
          <w:rFonts w:eastAsia="標楷體" w:cstheme="minorHAnsi" w:hint="eastAsia"/>
          <w:sz w:val="20"/>
          <w:szCs w:val="20"/>
        </w:rPr>
        <w:t>FDA/EMA</w:t>
      </w:r>
      <w:r w:rsidRPr="0020307A">
        <w:rPr>
          <w:rFonts w:eastAsia="標楷體" w:cstheme="minorHAnsi" w:hint="eastAsia"/>
          <w:sz w:val="20"/>
          <w:szCs w:val="20"/>
        </w:rPr>
        <w:t>核准上市，其</w:t>
      </w:r>
      <w:proofErr w:type="gramStart"/>
      <w:r w:rsidRPr="0020307A">
        <w:rPr>
          <w:rFonts w:eastAsia="標楷體" w:cstheme="minorHAnsi" w:hint="eastAsia"/>
          <w:sz w:val="20"/>
          <w:szCs w:val="20"/>
        </w:rPr>
        <w:t>原料藥具</w:t>
      </w:r>
      <w:proofErr w:type="gramEnd"/>
      <w:r w:rsidRPr="0020307A">
        <w:rPr>
          <w:rFonts w:eastAsia="標楷體" w:cstheme="minorHAnsi" w:hint="eastAsia"/>
          <w:sz w:val="20"/>
          <w:szCs w:val="20"/>
        </w:rPr>
        <w:t>DMF</w:t>
      </w:r>
      <w:r w:rsidRPr="0020307A">
        <w:rPr>
          <w:rFonts w:eastAsia="標楷體" w:cstheme="minorHAnsi" w:hint="eastAsia"/>
          <w:sz w:val="20"/>
          <w:szCs w:val="20"/>
        </w:rPr>
        <w:t>，且具便民包裝之藥品。</w:t>
      </w:r>
    </w:p>
    <w:p w:rsidR="00EA61A3" w:rsidRPr="0020307A" w:rsidRDefault="00EA61A3" w:rsidP="008E0B41">
      <w:pPr>
        <w:snapToGrid w:val="0"/>
        <w:spacing w:line="240" w:lineRule="atLeast"/>
        <w:ind w:leftChars="201" w:left="952" w:hangingChars="235" w:hanging="470"/>
        <w:rPr>
          <w:rFonts w:eastAsia="標楷體" w:cstheme="minorHAnsi"/>
          <w:sz w:val="20"/>
          <w:szCs w:val="20"/>
        </w:rPr>
      </w:pPr>
      <w:r w:rsidRPr="0020307A">
        <w:rPr>
          <w:rFonts w:eastAsia="標楷體" w:cstheme="minorHAnsi" w:hint="eastAsia"/>
          <w:sz w:val="20"/>
          <w:szCs w:val="20"/>
        </w:rPr>
        <w:t>B</w:t>
      </w:r>
      <w:r w:rsidRPr="0020307A">
        <w:rPr>
          <w:rFonts w:eastAsia="標楷體" w:cstheme="minorHAnsi" w:hint="eastAsia"/>
          <w:sz w:val="20"/>
          <w:szCs w:val="20"/>
        </w:rPr>
        <w:t>級：指符合</w:t>
      </w:r>
      <w:r w:rsidRPr="0020307A">
        <w:rPr>
          <w:rFonts w:eastAsia="標楷體" w:cstheme="minorHAnsi" w:hint="eastAsia"/>
          <w:sz w:val="20"/>
          <w:szCs w:val="20"/>
        </w:rPr>
        <w:t>PIC/S  GMP</w:t>
      </w:r>
      <w:r w:rsidRPr="0020307A">
        <w:rPr>
          <w:rFonts w:eastAsia="標楷體" w:cstheme="minorHAnsi" w:hint="eastAsia"/>
          <w:sz w:val="20"/>
          <w:szCs w:val="20"/>
        </w:rPr>
        <w:t>或</w:t>
      </w:r>
      <w:r w:rsidRPr="0020307A">
        <w:rPr>
          <w:rFonts w:eastAsia="標楷體" w:cstheme="minorHAnsi" w:hint="eastAsia"/>
          <w:sz w:val="20"/>
          <w:szCs w:val="20"/>
        </w:rPr>
        <w:t>FDA/EMA</w:t>
      </w:r>
      <w:r w:rsidRPr="0020307A">
        <w:rPr>
          <w:rFonts w:eastAsia="標楷體" w:cstheme="minorHAnsi" w:hint="eastAsia"/>
          <w:sz w:val="20"/>
          <w:szCs w:val="20"/>
        </w:rPr>
        <w:t>核准上市，且其</w:t>
      </w:r>
      <w:proofErr w:type="gramStart"/>
      <w:r w:rsidRPr="0020307A">
        <w:rPr>
          <w:rFonts w:eastAsia="標楷體" w:cstheme="minorHAnsi" w:hint="eastAsia"/>
          <w:sz w:val="20"/>
          <w:szCs w:val="20"/>
        </w:rPr>
        <w:t>原料藥具</w:t>
      </w:r>
      <w:proofErr w:type="gramEnd"/>
      <w:r w:rsidRPr="0020307A">
        <w:rPr>
          <w:rFonts w:eastAsia="標楷體" w:cstheme="minorHAnsi" w:hint="eastAsia"/>
          <w:sz w:val="20"/>
          <w:szCs w:val="20"/>
        </w:rPr>
        <w:t>DMF</w:t>
      </w:r>
      <w:r w:rsidRPr="0020307A">
        <w:rPr>
          <w:rFonts w:eastAsia="標楷體" w:cstheme="minorHAnsi" w:hint="eastAsia"/>
          <w:sz w:val="20"/>
          <w:szCs w:val="20"/>
        </w:rPr>
        <w:t>，惟未具便民包裝之藥品。</w:t>
      </w:r>
    </w:p>
    <w:p w:rsidR="00EA61A3" w:rsidRPr="0020307A" w:rsidRDefault="00EA61A3" w:rsidP="008E0B41">
      <w:pPr>
        <w:snapToGrid w:val="0"/>
        <w:spacing w:line="240" w:lineRule="atLeast"/>
        <w:ind w:leftChars="201" w:left="952" w:hangingChars="235" w:hanging="470"/>
        <w:rPr>
          <w:rFonts w:eastAsia="標楷體" w:cstheme="minorHAnsi"/>
          <w:sz w:val="20"/>
          <w:szCs w:val="20"/>
        </w:rPr>
      </w:pPr>
      <w:r w:rsidRPr="0020307A">
        <w:rPr>
          <w:rFonts w:eastAsia="標楷體" w:cstheme="minorHAnsi" w:hint="eastAsia"/>
          <w:sz w:val="20"/>
          <w:szCs w:val="20"/>
        </w:rPr>
        <w:t>C</w:t>
      </w:r>
      <w:r w:rsidRPr="0020307A">
        <w:rPr>
          <w:rFonts w:eastAsia="標楷體" w:cstheme="minorHAnsi" w:hint="eastAsia"/>
          <w:sz w:val="20"/>
          <w:szCs w:val="20"/>
        </w:rPr>
        <w:t>級：</w:t>
      </w:r>
      <w:proofErr w:type="gramStart"/>
      <w:r w:rsidRPr="0020307A">
        <w:rPr>
          <w:rFonts w:eastAsia="標楷體" w:cstheme="minorHAnsi" w:hint="eastAsia"/>
          <w:sz w:val="20"/>
          <w:szCs w:val="20"/>
        </w:rPr>
        <w:t>指僅符合</w:t>
      </w:r>
      <w:proofErr w:type="gramEnd"/>
      <w:r w:rsidRPr="0020307A">
        <w:rPr>
          <w:rFonts w:eastAsia="標楷體" w:cstheme="minorHAnsi" w:hint="eastAsia"/>
          <w:sz w:val="20"/>
          <w:szCs w:val="20"/>
        </w:rPr>
        <w:t>PIC/S GMP</w:t>
      </w:r>
      <w:r w:rsidRPr="0020307A">
        <w:rPr>
          <w:rFonts w:eastAsia="標楷體" w:cstheme="minorHAnsi" w:hint="eastAsia"/>
          <w:sz w:val="20"/>
          <w:szCs w:val="20"/>
        </w:rPr>
        <w:t>或</w:t>
      </w:r>
      <w:r w:rsidRPr="0020307A">
        <w:rPr>
          <w:rFonts w:eastAsia="標楷體" w:cstheme="minorHAnsi" w:hint="eastAsia"/>
          <w:sz w:val="20"/>
          <w:szCs w:val="20"/>
        </w:rPr>
        <w:t>FDA/EMA</w:t>
      </w:r>
      <w:r w:rsidRPr="0020307A">
        <w:rPr>
          <w:rFonts w:eastAsia="標楷體" w:cstheme="minorHAnsi" w:hint="eastAsia"/>
          <w:sz w:val="20"/>
          <w:szCs w:val="20"/>
        </w:rPr>
        <w:t>核准上市之藥品。</w:t>
      </w:r>
    </w:p>
    <w:p w:rsidR="00EA61A3" w:rsidRPr="0020307A" w:rsidRDefault="00EA61A3" w:rsidP="008E0B41">
      <w:pPr>
        <w:snapToGrid w:val="0"/>
        <w:spacing w:line="240" w:lineRule="atLeast"/>
        <w:ind w:leftChars="201" w:left="952" w:hangingChars="235" w:hanging="470"/>
        <w:rPr>
          <w:rFonts w:eastAsia="標楷體" w:cstheme="minorHAnsi"/>
          <w:sz w:val="20"/>
          <w:szCs w:val="20"/>
        </w:rPr>
      </w:pPr>
      <w:r w:rsidRPr="0020307A">
        <w:rPr>
          <w:rFonts w:eastAsia="標楷體" w:cstheme="minorHAnsi" w:hint="eastAsia"/>
          <w:sz w:val="20"/>
          <w:szCs w:val="20"/>
        </w:rPr>
        <w:t>D</w:t>
      </w:r>
      <w:r w:rsidRPr="0020307A">
        <w:rPr>
          <w:rFonts w:eastAsia="標楷體" w:cstheme="minorHAnsi" w:hint="eastAsia"/>
          <w:sz w:val="20"/>
          <w:szCs w:val="20"/>
        </w:rPr>
        <w:t>級：指僅有</w:t>
      </w:r>
      <w:proofErr w:type="gramStart"/>
      <w:r w:rsidRPr="0020307A">
        <w:rPr>
          <w:rFonts w:eastAsia="標楷體" w:cstheme="minorHAnsi" w:hint="eastAsia"/>
          <w:sz w:val="20"/>
          <w:szCs w:val="20"/>
        </w:rPr>
        <w:t>原料藥具</w:t>
      </w:r>
      <w:proofErr w:type="gramEnd"/>
      <w:r w:rsidRPr="0020307A">
        <w:rPr>
          <w:rFonts w:eastAsia="標楷體" w:cstheme="minorHAnsi" w:hint="eastAsia"/>
          <w:sz w:val="20"/>
          <w:szCs w:val="20"/>
        </w:rPr>
        <w:t>DMF</w:t>
      </w:r>
      <w:r w:rsidRPr="0020307A">
        <w:rPr>
          <w:rFonts w:eastAsia="標楷體" w:cstheme="minorHAnsi" w:hint="eastAsia"/>
          <w:sz w:val="20"/>
          <w:szCs w:val="20"/>
        </w:rPr>
        <w:t>之藥品。</w:t>
      </w:r>
    </w:p>
    <w:p w:rsidR="00680107" w:rsidRPr="009A2E51" w:rsidRDefault="00680107" w:rsidP="008E0B41">
      <w:pPr>
        <w:snapToGrid w:val="0"/>
        <w:spacing w:line="240" w:lineRule="atLeast"/>
        <w:ind w:leftChars="101" w:left="806" w:hangingChars="235" w:hanging="564"/>
        <w:rPr>
          <w:rFonts w:eastAsia="標楷體" w:cstheme="minorHAnsi"/>
        </w:rPr>
      </w:pPr>
    </w:p>
    <w:p w:rsidR="00EA61A3" w:rsidRPr="009A2E51" w:rsidRDefault="00EA61A3" w:rsidP="008E0B41">
      <w:pPr>
        <w:snapToGrid w:val="0"/>
        <w:spacing w:line="240" w:lineRule="atLeast"/>
        <w:ind w:leftChars="101" w:left="806" w:hangingChars="235" w:hanging="564"/>
        <w:rPr>
          <w:rFonts w:eastAsia="標楷體" w:cstheme="minorHAnsi"/>
        </w:rPr>
      </w:pPr>
      <w:r w:rsidRPr="009A2E51">
        <w:rPr>
          <w:rFonts w:eastAsia="標楷體" w:cstheme="minorHAnsi" w:hint="eastAsia"/>
        </w:rPr>
        <w:t>（四）實施三</w:t>
      </w:r>
      <w:proofErr w:type="gramStart"/>
      <w:r w:rsidRPr="009A2E51">
        <w:rPr>
          <w:rFonts w:eastAsia="標楷體" w:cstheme="minorHAnsi" w:hint="eastAsia"/>
        </w:rPr>
        <w:t>同應搭配</w:t>
      </w:r>
      <w:proofErr w:type="gramEnd"/>
      <w:r w:rsidRPr="009A2E51">
        <w:rPr>
          <w:rFonts w:eastAsia="標楷體" w:cstheme="minorHAnsi" w:hint="eastAsia"/>
        </w:rPr>
        <w:t>相關配套措施，如差額負擔、部分負擔等，而該等</w:t>
      </w:r>
      <w:proofErr w:type="gramStart"/>
      <w:r w:rsidRPr="009A2E51">
        <w:rPr>
          <w:rFonts w:eastAsia="標楷體" w:cstheme="minorHAnsi" w:hint="eastAsia"/>
        </w:rPr>
        <w:t>措</w:t>
      </w:r>
      <w:proofErr w:type="gramEnd"/>
    </w:p>
    <w:p w:rsidR="00EA61A3" w:rsidRDefault="00EA61A3" w:rsidP="008E0B41">
      <w:pPr>
        <w:snapToGrid w:val="0"/>
        <w:spacing w:line="240" w:lineRule="atLeast"/>
        <w:ind w:leftChars="101" w:left="806" w:hangingChars="235" w:hanging="564"/>
        <w:rPr>
          <w:rFonts w:eastAsia="標楷體" w:cstheme="minorHAnsi"/>
        </w:rPr>
      </w:pPr>
      <w:r w:rsidRPr="009A2E51">
        <w:rPr>
          <w:rFonts w:eastAsia="標楷體" w:cstheme="minorHAnsi" w:hint="eastAsia"/>
        </w:rPr>
        <w:t>施與民眾權益相關，應循立法程序，充分討論後，再依法實施。</w:t>
      </w:r>
    </w:p>
    <w:p w:rsidR="008E0B41" w:rsidRPr="009A2E51" w:rsidRDefault="008E0B41" w:rsidP="00EA61A3">
      <w:pPr>
        <w:snapToGrid w:val="0"/>
        <w:spacing w:line="240" w:lineRule="atLeast"/>
        <w:rPr>
          <w:rFonts w:eastAsia="標楷體" w:cstheme="minorHAnsi"/>
        </w:rPr>
      </w:pPr>
    </w:p>
    <w:p w:rsidR="00AF3FCF" w:rsidRPr="00E1759D" w:rsidRDefault="00680107" w:rsidP="00EA61A3">
      <w:pPr>
        <w:snapToGrid w:val="0"/>
        <w:spacing w:line="240" w:lineRule="atLeast"/>
        <w:rPr>
          <w:rFonts w:eastAsia="標楷體" w:cstheme="minorHAnsi"/>
          <w:b/>
          <w:u w:val="single"/>
        </w:rPr>
      </w:pPr>
      <w:r w:rsidRPr="00E1759D">
        <w:rPr>
          <w:rFonts w:eastAsia="標楷體" w:cstheme="minorHAnsi" w:hint="eastAsia"/>
          <w:b/>
          <w:u w:val="single"/>
        </w:rPr>
        <w:t>六、</w:t>
      </w:r>
      <w:r w:rsidR="00AF3FCF" w:rsidRPr="00E1759D">
        <w:rPr>
          <w:rFonts w:eastAsia="標楷體" w:cstheme="minorHAnsi" w:hint="eastAsia"/>
          <w:b/>
          <w:u w:val="single"/>
        </w:rPr>
        <w:t>『</w:t>
      </w:r>
      <w:r w:rsidR="00074C24" w:rsidRPr="00E1759D">
        <w:rPr>
          <w:rFonts w:eastAsia="標楷體" w:cstheme="minorHAnsi" w:hint="eastAsia"/>
          <w:b/>
          <w:u w:val="single"/>
        </w:rPr>
        <w:t>機動性調查</w:t>
      </w:r>
      <w:r w:rsidR="00AF3FCF" w:rsidRPr="00E1759D">
        <w:rPr>
          <w:rFonts w:eastAsia="標楷體" w:cstheme="minorHAnsi" w:hint="eastAsia"/>
          <w:b/>
          <w:u w:val="single"/>
        </w:rPr>
        <w:t>』</w:t>
      </w:r>
      <w:r w:rsidR="00074C24" w:rsidRPr="00E1759D">
        <w:rPr>
          <w:rFonts w:eastAsia="標楷體" w:cstheme="minorHAnsi" w:hint="eastAsia"/>
          <w:b/>
          <w:u w:val="single"/>
        </w:rPr>
        <w:t>品項</w:t>
      </w:r>
      <w:r w:rsidR="00AF3FCF" w:rsidRPr="00E1759D">
        <w:rPr>
          <w:rFonts w:eastAsia="標楷體" w:cstheme="minorHAnsi" w:hint="eastAsia"/>
          <w:b/>
          <w:u w:val="single"/>
        </w:rPr>
        <w:t>之支付價格調整方式</w:t>
      </w:r>
      <w:r w:rsidR="00074C24" w:rsidRPr="00E1759D">
        <w:rPr>
          <w:rFonts w:eastAsia="標楷體" w:cstheme="minorHAnsi" w:hint="eastAsia"/>
          <w:b/>
          <w:u w:val="single"/>
        </w:rPr>
        <w:t>：</w:t>
      </w:r>
    </w:p>
    <w:p w:rsidR="00337961" w:rsidRPr="00337961" w:rsidRDefault="00337961" w:rsidP="007D0AF1">
      <w:pPr>
        <w:snapToGrid w:val="0"/>
        <w:spacing w:beforeLines="50" w:line="240" w:lineRule="atLeast"/>
        <w:rPr>
          <w:rFonts w:eastAsia="標楷體" w:cstheme="minorHAnsi"/>
        </w:rPr>
      </w:pPr>
      <w:r w:rsidRPr="00337961">
        <w:rPr>
          <w:rFonts w:eastAsia="標楷體" w:cstheme="minorHAnsi" w:hint="eastAsia"/>
        </w:rPr>
        <w:t>有關本辦法第七條與第二十七條，</w:t>
      </w:r>
      <w:r w:rsidR="000155C5" w:rsidRPr="00337961">
        <w:rPr>
          <w:rFonts w:eastAsia="標楷體" w:cstheme="minorHAnsi" w:hint="eastAsia"/>
        </w:rPr>
        <w:t>吾等公、協會於</w:t>
      </w:r>
      <w:r w:rsidR="000155C5" w:rsidRPr="00337961">
        <w:rPr>
          <w:rFonts w:eastAsia="標楷體" w:cstheme="minorHAnsi" w:hint="eastAsia"/>
        </w:rPr>
        <w:t>101</w:t>
      </w:r>
      <w:r w:rsidR="000155C5" w:rsidRPr="00337961">
        <w:rPr>
          <w:rFonts w:eastAsia="標楷體" w:cstheme="minorHAnsi" w:hint="eastAsia"/>
        </w:rPr>
        <w:t>年</w:t>
      </w:r>
      <w:r w:rsidR="000155C5" w:rsidRPr="00337961">
        <w:rPr>
          <w:rFonts w:eastAsia="標楷體" w:cstheme="minorHAnsi" w:hint="eastAsia"/>
        </w:rPr>
        <w:t>3</w:t>
      </w:r>
      <w:r w:rsidR="000155C5" w:rsidRPr="00337961">
        <w:rPr>
          <w:rFonts w:eastAsia="標楷體" w:cstheme="minorHAnsi" w:hint="eastAsia"/>
        </w:rPr>
        <w:t>月</w:t>
      </w:r>
      <w:r w:rsidR="000155C5" w:rsidRPr="00337961">
        <w:rPr>
          <w:rFonts w:eastAsia="標楷體" w:cstheme="minorHAnsi" w:hint="eastAsia"/>
        </w:rPr>
        <w:t>28</w:t>
      </w:r>
      <w:r w:rsidR="000155C5" w:rsidRPr="00337961">
        <w:rPr>
          <w:rFonts w:eastAsia="標楷體" w:cstheme="minorHAnsi" w:hint="eastAsia"/>
        </w:rPr>
        <w:t>日聯合行文</w:t>
      </w:r>
      <w:r w:rsidR="0020307A" w:rsidRPr="00337961">
        <w:rPr>
          <w:rFonts w:eastAsia="標楷體" w:cstheme="minorHAnsi" w:hint="eastAsia"/>
        </w:rPr>
        <w:t xml:space="preserve"> </w:t>
      </w:r>
      <w:r w:rsidR="000155C5" w:rsidRPr="00337961">
        <w:rPr>
          <w:rFonts w:eastAsia="標楷體" w:cstheme="minorHAnsi" w:hint="eastAsia"/>
          <w:highlight w:val="yellow"/>
        </w:rPr>
        <w:t>(</w:t>
      </w:r>
      <w:r w:rsidR="000155C5" w:rsidRPr="00337961">
        <w:rPr>
          <w:rFonts w:eastAsia="標楷體" w:cstheme="minorHAnsi" w:hint="eastAsia"/>
          <w:highlight w:val="yellow"/>
        </w:rPr>
        <w:t>如附件</w:t>
      </w:r>
      <w:r w:rsidR="001A273B">
        <w:rPr>
          <w:rFonts w:eastAsia="標楷體" w:cstheme="minorHAnsi" w:hint="eastAsia"/>
          <w:highlight w:val="yellow"/>
        </w:rPr>
        <w:t>二</w:t>
      </w:r>
      <w:r w:rsidR="000155C5" w:rsidRPr="00337961">
        <w:rPr>
          <w:rFonts w:eastAsia="標楷體" w:cstheme="minorHAnsi" w:hint="eastAsia"/>
          <w:highlight w:val="yellow"/>
        </w:rPr>
        <w:t>)</w:t>
      </w:r>
      <w:r w:rsidR="000155C5" w:rsidRPr="00337961">
        <w:rPr>
          <w:rFonts w:eastAsia="標楷體" w:cstheme="minorHAnsi" w:hint="eastAsia"/>
        </w:rPr>
        <w:t>，說明「其立意不符公平合理原則，請儘速與相關業者協商，並修改內容，以昭公信」，惜未獲回覆。</w:t>
      </w:r>
      <w:r w:rsidRPr="00337961">
        <w:rPr>
          <w:rFonts w:eastAsia="標楷體" w:cstheme="minorHAnsi" w:hint="eastAsia"/>
        </w:rPr>
        <w:t>建議機動性調查應依公平合理原則，不應殃及同分組品項之藥品，避免懲罰規矩守法之廠商。</w:t>
      </w:r>
    </w:p>
    <w:p w:rsidR="00436048" w:rsidRPr="00093638" w:rsidRDefault="00436048" w:rsidP="00436048">
      <w:pPr>
        <w:snapToGrid w:val="0"/>
        <w:spacing w:line="240" w:lineRule="atLeast"/>
        <w:rPr>
          <w:rFonts w:eastAsia="標楷體" w:cstheme="minorHAnsi"/>
          <w:color w:val="0070C0"/>
        </w:rPr>
      </w:pPr>
    </w:p>
    <w:p w:rsidR="00540AA9" w:rsidRDefault="00337961" w:rsidP="00AF3FCF">
      <w:pPr>
        <w:snapToGrid w:val="0"/>
        <w:spacing w:line="240" w:lineRule="atLeast"/>
        <w:rPr>
          <w:rFonts w:eastAsia="標楷體" w:cstheme="minorHAnsi"/>
        </w:rPr>
      </w:pPr>
      <w:r>
        <w:rPr>
          <w:rFonts w:eastAsia="標楷體" w:cstheme="minorHAnsi" w:hint="eastAsia"/>
        </w:rPr>
        <w:t>說明</w:t>
      </w:r>
      <w:r w:rsidR="00540AA9">
        <w:rPr>
          <w:rFonts w:eastAsia="標楷體" w:cstheme="minorHAnsi" w:hint="eastAsia"/>
        </w:rPr>
        <w:t>：</w:t>
      </w:r>
    </w:p>
    <w:p w:rsidR="00AF3FCF" w:rsidRPr="00074C24" w:rsidRDefault="00540AA9" w:rsidP="008E0B41">
      <w:pPr>
        <w:snapToGrid w:val="0"/>
        <w:spacing w:line="240" w:lineRule="atLeast"/>
        <w:ind w:leftChars="118" w:left="849" w:hangingChars="236" w:hanging="566"/>
        <w:rPr>
          <w:rFonts w:eastAsia="標楷體" w:cstheme="minorHAnsi"/>
          <w:u w:val="single"/>
        </w:rPr>
      </w:pPr>
      <w:r w:rsidRPr="009A2E51">
        <w:rPr>
          <w:rFonts w:eastAsia="標楷體" w:cstheme="minorHAnsi" w:hint="eastAsia"/>
        </w:rPr>
        <w:t>（一）</w:t>
      </w:r>
      <w:r>
        <w:rPr>
          <w:rFonts w:eastAsia="標楷體" w:cstheme="minorHAnsi" w:hint="eastAsia"/>
        </w:rPr>
        <w:t xml:space="preserve"> </w:t>
      </w:r>
      <w:r w:rsidR="00AF3FCF" w:rsidRPr="00074C24">
        <w:rPr>
          <w:rFonts w:eastAsia="標楷體" w:cstheme="minorHAnsi" w:hint="eastAsia"/>
        </w:rPr>
        <w:t>機動性調查後之藥品支付價格調整，如有一家藥商，一筆交易發票低於現有健保支付價格之</w:t>
      </w:r>
      <w:r w:rsidR="00AF3FCF" w:rsidRPr="00074C24">
        <w:rPr>
          <w:rFonts w:eastAsia="標楷體" w:cstheme="minorHAnsi" w:hint="eastAsia"/>
        </w:rPr>
        <w:t>50%</w:t>
      </w:r>
      <w:r w:rsidR="00AF3FCF" w:rsidRPr="00074C24">
        <w:rPr>
          <w:rFonts w:eastAsia="標楷體" w:cstheme="minorHAnsi" w:hint="eastAsia"/>
        </w:rPr>
        <w:t>，連坐其他「同品質條件」一併受罰的處理原則，實不符合公平正義，應只針對個別藥品售價低於現有健保支付價格之</w:t>
      </w:r>
      <w:r w:rsidR="00AF3FCF" w:rsidRPr="00074C24">
        <w:rPr>
          <w:rFonts w:eastAsia="標楷體" w:cstheme="minorHAnsi" w:hint="eastAsia"/>
        </w:rPr>
        <w:t>50%</w:t>
      </w:r>
      <w:r w:rsidR="00AF3FCF" w:rsidRPr="00074C24">
        <w:rPr>
          <w:rFonts w:eastAsia="標楷體" w:cstheme="minorHAnsi" w:hint="eastAsia"/>
        </w:rPr>
        <w:t>者，進行處罰性調降個別藥品健保價。</w:t>
      </w:r>
    </w:p>
    <w:p w:rsidR="00AF3FCF" w:rsidRPr="00074C24" w:rsidRDefault="00AF3FCF" w:rsidP="008E0B41">
      <w:pPr>
        <w:snapToGrid w:val="0"/>
        <w:spacing w:line="240" w:lineRule="atLeast"/>
        <w:ind w:leftChars="118" w:left="849" w:hangingChars="236" w:hanging="566"/>
        <w:rPr>
          <w:rFonts w:eastAsia="標楷體" w:cstheme="minorHAnsi"/>
        </w:rPr>
      </w:pPr>
    </w:p>
    <w:p w:rsidR="00AF3FCF" w:rsidRDefault="00540AA9" w:rsidP="008E0B41">
      <w:pPr>
        <w:snapToGrid w:val="0"/>
        <w:spacing w:line="240" w:lineRule="atLeast"/>
        <w:ind w:leftChars="118" w:left="849" w:hangingChars="236" w:hanging="566"/>
        <w:rPr>
          <w:rFonts w:eastAsia="標楷體" w:cstheme="minorHAnsi"/>
        </w:rPr>
      </w:pPr>
      <w:r w:rsidRPr="009A2E51">
        <w:rPr>
          <w:rFonts w:eastAsia="標楷體" w:cstheme="minorHAnsi" w:hint="eastAsia"/>
        </w:rPr>
        <w:t>（二）</w:t>
      </w:r>
      <w:r>
        <w:rPr>
          <w:rFonts w:eastAsia="標楷體" w:cstheme="minorHAnsi" w:hint="eastAsia"/>
        </w:rPr>
        <w:t xml:space="preserve"> </w:t>
      </w:r>
      <w:r w:rsidR="00AF3FCF" w:rsidRPr="00074C24">
        <w:rPr>
          <w:rFonts w:eastAsia="標楷體" w:cstheme="minorHAnsi" w:hint="eastAsia"/>
        </w:rPr>
        <w:t>該調整公式採用</w:t>
      </w:r>
      <w:proofErr w:type="spellStart"/>
      <w:r w:rsidR="00AF3FCF" w:rsidRPr="00074C24">
        <w:rPr>
          <w:rFonts w:eastAsia="標楷體" w:cstheme="minorHAnsi" w:hint="eastAsia"/>
        </w:rPr>
        <w:t>Pmin</w:t>
      </w:r>
      <w:proofErr w:type="spellEnd"/>
      <w:r w:rsidR="00AF3FCF" w:rsidRPr="00074C24">
        <w:rPr>
          <w:rFonts w:eastAsia="標楷體" w:cstheme="minorHAnsi" w:hint="eastAsia"/>
        </w:rPr>
        <w:t>計算，建議改為以</w:t>
      </w:r>
      <w:proofErr w:type="spellStart"/>
      <w:r w:rsidR="00AF3FCF" w:rsidRPr="00074C24">
        <w:rPr>
          <w:rFonts w:eastAsia="標楷體" w:cstheme="minorHAnsi" w:hint="eastAsia"/>
        </w:rPr>
        <w:t>Pwap</w:t>
      </w:r>
      <w:proofErr w:type="spellEnd"/>
      <w:r w:rsidR="00AF3FCF" w:rsidRPr="00074C24">
        <w:rPr>
          <w:rFonts w:eastAsia="標楷體" w:cstheme="minorHAnsi" w:hint="eastAsia"/>
        </w:rPr>
        <w:t>（該品項之市場加權平均價）為計算基準。因某些特殊因素導致僅以一筆交易單價低於現有健保支付價格之</w:t>
      </w:r>
      <w:r w:rsidR="00AF3FCF" w:rsidRPr="00074C24">
        <w:rPr>
          <w:rFonts w:eastAsia="標楷體" w:cstheme="minorHAnsi" w:hint="eastAsia"/>
        </w:rPr>
        <w:t>50%</w:t>
      </w:r>
      <w:r w:rsidR="00AF3FCF" w:rsidRPr="00074C24">
        <w:rPr>
          <w:rFonts w:eastAsia="標楷體" w:cstheme="minorHAnsi" w:hint="eastAsia"/>
        </w:rPr>
        <w:t>，而</w:t>
      </w:r>
      <w:proofErr w:type="gramStart"/>
      <w:r w:rsidR="00AF3FCF" w:rsidRPr="00074C24">
        <w:rPr>
          <w:rFonts w:eastAsia="標楷體" w:cstheme="minorHAnsi" w:hint="eastAsia"/>
        </w:rPr>
        <w:t>其餘均是正常</w:t>
      </w:r>
      <w:proofErr w:type="gramEnd"/>
      <w:r w:rsidR="00AF3FCF" w:rsidRPr="00074C24">
        <w:rPr>
          <w:rFonts w:eastAsia="標楷體" w:cstheme="minorHAnsi" w:hint="eastAsia"/>
        </w:rPr>
        <w:t>市場交易行為；或者某廠商在接近藥品有效期限到期前，故意削價傾銷，反而擾亂市場交易次序等等，都將「</w:t>
      </w:r>
      <w:proofErr w:type="gramStart"/>
      <w:r w:rsidR="00AF3FCF" w:rsidRPr="00074C24">
        <w:rPr>
          <w:rFonts w:eastAsia="標楷體" w:cstheme="minorHAnsi" w:hint="eastAsia"/>
        </w:rPr>
        <w:t>誅</w:t>
      </w:r>
      <w:proofErr w:type="gramEnd"/>
      <w:r w:rsidR="00AF3FCF" w:rsidRPr="00074C24">
        <w:rPr>
          <w:rFonts w:eastAsia="標楷體" w:cstheme="minorHAnsi" w:hint="eastAsia"/>
        </w:rPr>
        <w:t>連九族」的連坐方式，反而是懲罰規矩、守法的廠商，對真正不肖廠商卻無約束能力的作法，應該立即取消此規定。</w:t>
      </w:r>
    </w:p>
    <w:p w:rsidR="000155C5" w:rsidRDefault="000155C5" w:rsidP="00AF3FCF">
      <w:pPr>
        <w:snapToGrid w:val="0"/>
        <w:spacing w:line="240" w:lineRule="atLeast"/>
        <w:rPr>
          <w:rFonts w:eastAsia="標楷體" w:cstheme="minorHAnsi"/>
        </w:rPr>
      </w:pPr>
    </w:p>
    <w:p w:rsidR="00734E14" w:rsidRPr="00E1759D" w:rsidRDefault="00DD45A7" w:rsidP="00734E14">
      <w:pPr>
        <w:snapToGrid w:val="0"/>
        <w:spacing w:line="240" w:lineRule="atLeast"/>
        <w:rPr>
          <w:rFonts w:eastAsia="標楷體" w:cstheme="minorHAnsi"/>
          <w:b/>
          <w:u w:val="single"/>
        </w:rPr>
      </w:pPr>
      <w:r w:rsidRPr="00E1759D">
        <w:rPr>
          <w:rFonts w:eastAsia="標楷體" w:cstheme="minorHAnsi" w:hint="eastAsia"/>
          <w:b/>
          <w:u w:val="single"/>
        </w:rPr>
        <w:t>七、</w:t>
      </w:r>
      <w:r w:rsidR="00734E14" w:rsidRPr="00E1759D">
        <w:rPr>
          <w:rFonts w:eastAsia="標楷體" w:cstheme="minorHAnsi" w:hint="eastAsia"/>
          <w:b/>
          <w:u w:val="single"/>
        </w:rPr>
        <w:t>其他品項之支付價格調整方式：</w:t>
      </w:r>
    </w:p>
    <w:p w:rsidR="00734E14" w:rsidRDefault="006D383C" w:rsidP="00C8233E">
      <w:pPr>
        <w:snapToGrid w:val="0"/>
        <w:spacing w:before="240" w:line="240" w:lineRule="atLeast"/>
        <w:rPr>
          <w:rFonts w:eastAsia="標楷體" w:cstheme="minorHAnsi"/>
          <w:sz w:val="28"/>
        </w:rPr>
      </w:pPr>
      <w:r>
        <w:rPr>
          <w:rFonts w:eastAsia="標楷體" w:cstheme="minorHAnsi" w:hint="eastAsia"/>
        </w:rPr>
        <w:t>有關</w:t>
      </w:r>
      <w:r w:rsidR="00734E14" w:rsidRPr="00734E14">
        <w:rPr>
          <w:rFonts w:eastAsia="標楷體" w:cstheme="minorHAnsi" w:hint="eastAsia"/>
        </w:rPr>
        <w:t>第十二條</w:t>
      </w:r>
      <w:r w:rsidR="00734E14">
        <w:rPr>
          <w:rFonts w:eastAsia="標楷體" w:cstheme="minorHAnsi" w:hint="eastAsia"/>
        </w:rPr>
        <w:t>與</w:t>
      </w:r>
      <w:r w:rsidR="00734E14" w:rsidRPr="00734E14">
        <w:rPr>
          <w:rFonts w:eastAsia="標楷體" w:cstheme="minorHAnsi" w:hint="eastAsia"/>
        </w:rPr>
        <w:t>第二十四條</w:t>
      </w:r>
      <w:r>
        <w:rPr>
          <w:rFonts w:eastAsia="標楷體" w:cstheme="minorHAnsi" w:hint="eastAsia"/>
        </w:rPr>
        <w:t>，</w:t>
      </w:r>
      <w:r w:rsidR="00734E14" w:rsidRPr="00734E14">
        <w:rPr>
          <w:rFonts w:eastAsia="標楷體" w:cstheme="minorHAnsi" w:hint="eastAsia"/>
        </w:rPr>
        <w:t>建議</w:t>
      </w:r>
      <w:r w:rsidR="009C383E">
        <w:rPr>
          <w:rFonts w:eastAsia="標楷體" w:cstheme="minorHAnsi" w:hint="eastAsia"/>
        </w:rPr>
        <w:t>公告</w:t>
      </w:r>
      <w:r w:rsidR="00734E14" w:rsidRPr="00734E14">
        <w:rPr>
          <w:rFonts w:eastAsia="標楷體" w:cstheme="minorHAnsi" w:hint="eastAsia"/>
        </w:rPr>
        <w:t>『其他經保險人公告之』之名單</w:t>
      </w:r>
      <w:r w:rsidR="00734E14" w:rsidRPr="00734E14">
        <w:rPr>
          <w:rFonts w:eastAsia="標楷體" w:cstheme="minorHAnsi" w:hint="eastAsia"/>
        </w:rPr>
        <w:t xml:space="preserve"> </w:t>
      </w:r>
      <w:r w:rsidR="009C383E">
        <w:rPr>
          <w:rFonts w:eastAsia="標楷體" w:cstheme="minorHAnsi" w:hint="eastAsia"/>
        </w:rPr>
        <w:t>，</w:t>
      </w:r>
      <w:r>
        <w:rPr>
          <w:rFonts w:eastAsia="標楷體" w:cstheme="minorHAnsi" w:hint="eastAsia"/>
        </w:rPr>
        <w:t>應</w:t>
      </w:r>
      <w:r w:rsidR="00C8233E">
        <w:rPr>
          <w:rFonts w:eastAsia="標楷體" w:cstheme="minorHAnsi" w:hint="eastAsia"/>
        </w:rPr>
        <w:t>根據</w:t>
      </w:r>
      <w:r w:rsidR="009C383E">
        <w:rPr>
          <w:rFonts w:eastAsia="標楷體" w:cstheme="minorHAnsi" w:hint="eastAsia"/>
        </w:rPr>
        <w:t>『</w:t>
      </w:r>
      <w:r w:rsidR="009C383E" w:rsidRPr="009C383E">
        <w:rPr>
          <w:rFonts w:eastAsia="標楷體" w:cstheme="minorHAnsi" w:hint="eastAsia"/>
        </w:rPr>
        <w:t>全民健康保險第</w:t>
      </w:r>
      <w:r w:rsidR="009C383E" w:rsidRPr="009C383E">
        <w:rPr>
          <w:rFonts w:eastAsia="標楷體" w:cstheme="minorHAnsi" w:hint="eastAsia"/>
        </w:rPr>
        <w:t>7</w:t>
      </w:r>
      <w:r w:rsidR="009C383E" w:rsidRPr="009C383E">
        <w:rPr>
          <w:rFonts w:eastAsia="標楷體" w:cstheme="minorHAnsi" w:hint="eastAsia"/>
        </w:rPr>
        <w:t>次藥品支付價格調整方案</w:t>
      </w:r>
      <w:r w:rsidR="009C383E">
        <w:rPr>
          <w:rFonts w:eastAsia="標楷體" w:cstheme="minorHAnsi" w:hint="eastAsia"/>
        </w:rPr>
        <w:t>』中附件</w:t>
      </w:r>
      <w:r w:rsidR="00D31700">
        <w:rPr>
          <w:rFonts w:eastAsia="標楷體" w:cstheme="minorHAnsi" w:hint="eastAsia"/>
        </w:rPr>
        <w:t>3</w:t>
      </w:r>
      <w:r w:rsidR="00D31700">
        <w:rPr>
          <w:rFonts w:eastAsia="標楷體" w:cstheme="minorHAnsi" w:hint="eastAsia"/>
        </w:rPr>
        <w:t>『</w:t>
      </w:r>
      <w:r w:rsidR="00D31700" w:rsidRPr="00734E14">
        <w:rPr>
          <w:rFonts w:eastAsia="標楷體" w:cstheme="minorHAnsi" w:hint="eastAsia"/>
        </w:rPr>
        <w:t>特殊品項</w:t>
      </w:r>
      <w:r w:rsidR="00D31700">
        <w:rPr>
          <w:rFonts w:eastAsia="標楷體" w:cstheme="minorHAnsi" w:hint="eastAsia"/>
        </w:rPr>
        <w:t>』</w:t>
      </w:r>
      <w:r w:rsidR="009C383E">
        <w:rPr>
          <w:rFonts w:eastAsia="標楷體" w:cstheme="minorHAnsi" w:hint="eastAsia"/>
        </w:rPr>
        <w:t>所列之</w:t>
      </w:r>
      <w:r w:rsidR="00C8233E">
        <w:rPr>
          <w:rFonts w:eastAsia="標楷體" w:cstheme="minorHAnsi" w:hint="eastAsia"/>
        </w:rPr>
        <w:t>名單</w:t>
      </w:r>
      <w:r w:rsidR="00C8233E">
        <w:rPr>
          <w:rFonts w:eastAsia="標楷體" w:cstheme="minorHAnsi" w:hint="eastAsia"/>
        </w:rPr>
        <w:t xml:space="preserve"> (</w:t>
      </w:r>
      <w:r w:rsidR="00C8233E">
        <w:rPr>
          <w:rFonts w:eastAsia="標楷體" w:cstheme="minorHAnsi" w:hint="eastAsia"/>
        </w:rPr>
        <w:t>詳如以下成分</w:t>
      </w:r>
      <w:r w:rsidR="00C8233E">
        <w:rPr>
          <w:rFonts w:eastAsia="標楷體" w:cstheme="minorHAnsi" w:hint="eastAsia"/>
        </w:rPr>
        <w:t xml:space="preserve">) </w:t>
      </w:r>
      <w:r w:rsidR="009C383E">
        <w:rPr>
          <w:rFonts w:eastAsia="標楷體" w:cstheme="minorHAnsi" w:hint="eastAsia"/>
        </w:rPr>
        <w:t>為主</w:t>
      </w:r>
      <w:r w:rsidR="00734E14">
        <w:rPr>
          <w:rFonts w:eastAsia="標楷體" w:cstheme="minorHAnsi" w:hint="eastAsia"/>
          <w:sz w:val="28"/>
        </w:rPr>
        <w:t>。</w:t>
      </w:r>
    </w:p>
    <w:p w:rsidR="00C8233E" w:rsidRDefault="00C8233E" w:rsidP="004301FB">
      <w:pPr>
        <w:snapToGrid w:val="0"/>
        <w:spacing w:line="240" w:lineRule="atLeast"/>
        <w:rPr>
          <w:rFonts w:eastAsia="標楷體" w:cstheme="minorHAnsi"/>
        </w:rPr>
      </w:pPr>
    </w:p>
    <w:p w:rsidR="00C8233E" w:rsidRDefault="00C8233E" w:rsidP="004301FB">
      <w:pPr>
        <w:snapToGrid w:val="0"/>
        <w:spacing w:line="240" w:lineRule="atLeast"/>
        <w:rPr>
          <w:rFonts w:eastAsia="標楷體" w:cstheme="minorHAnsi"/>
        </w:rPr>
      </w:pPr>
      <w:r>
        <w:rPr>
          <w:rFonts w:eastAsia="標楷體" w:cstheme="minorHAnsi" w:hint="eastAsia"/>
        </w:rPr>
        <w:t>『</w:t>
      </w:r>
      <w:r w:rsidRPr="00734E14">
        <w:rPr>
          <w:rFonts w:eastAsia="標楷體" w:cstheme="minorHAnsi" w:hint="eastAsia"/>
        </w:rPr>
        <w:t>特殊品項</w:t>
      </w:r>
      <w:r>
        <w:rPr>
          <w:rFonts w:eastAsia="標楷體" w:cstheme="minorHAnsi" w:hint="eastAsia"/>
        </w:rPr>
        <w:t>』：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1.Dactinomycin </w:t>
      </w:r>
      <w:r w:rsidRPr="00C8233E">
        <w:rPr>
          <w:rFonts w:eastAsia="標楷體" w:cstheme="minorHAnsi" w:hint="eastAsia"/>
        </w:rPr>
        <w:t>注射劑。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2.Phenobarbital Sodium </w:t>
      </w:r>
      <w:r w:rsidRPr="00C8233E">
        <w:rPr>
          <w:rFonts w:eastAsia="標楷體" w:cstheme="minorHAnsi" w:hint="eastAsia"/>
        </w:rPr>
        <w:t>單方注射劑。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3.Biperiden Lactate </w:t>
      </w:r>
      <w:r w:rsidRPr="00C8233E">
        <w:rPr>
          <w:rFonts w:eastAsia="標楷體" w:cstheme="minorHAnsi" w:hint="eastAsia"/>
        </w:rPr>
        <w:t>注射劑。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4.Verapamil HCL </w:t>
      </w:r>
      <w:r w:rsidRPr="00C8233E">
        <w:rPr>
          <w:rFonts w:eastAsia="標楷體" w:cstheme="minorHAnsi" w:hint="eastAsia"/>
        </w:rPr>
        <w:t>注射劑。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5.Phenylephrine HCL </w:t>
      </w:r>
      <w:r w:rsidRPr="00C8233E">
        <w:rPr>
          <w:rFonts w:eastAsia="標楷體" w:cstheme="minorHAnsi" w:hint="eastAsia"/>
        </w:rPr>
        <w:t>注射劑。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6.Digoxin </w:t>
      </w:r>
      <w:proofErr w:type="gramStart"/>
      <w:r w:rsidRPr="00C8233E">
        <w:rPr>
          <w:rFonts w:eastAsia="標楷體" w:cstheme="minorHAnsi" w:hint="eastAsia"/>
        </w:rPr>
        <w:t>錠劑</w:t>
      </w:r>
      <w:proofErr w:type="gramEnd"/>
      <w:r w:rsidRPr="00C8233E">
        <w:rPr>
          <w:rFonts w:eastAsia="標楷體" w:cstheme="minorHAnsi" w:hint="eastAsia"/>
        </w:rPr>
        <w:t>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7.L-Asparaginase </w:t>
      </w:r>
      <w:r w:rsidRPr="00C8233E">
        <w:rPr>
          <w:rFonts w:eastAsia="標楷體" w:cstheme="minorHAnsi" w:hint="eastAsia"/>
        </w:rPr>
        <w:t>注射劑。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8.Penicillin G </w:t>
      </w:r>
      <w:r w:rsidRPr="00C8233E">
        <w:rPr>
          <w:rFonts w:eastAsia="標楷體" w:cstheme="minorHAnsi" w:hint="eastAsia"/>
        </w:rPr>
        <w:t>注射劑。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9.Streptomycin </w:t>
      </w:r>
      <w:r w:rsidRPr="00C8233E">
        <w:rPr>
          <w:rFonts w:eastAsia="標楷體" w:cstheme="minorHAnsi" w:hint="eastAsia"/>
        </w:rPr>
        <w:t>注射劑。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lastRenderedPageBreak/>
        <w:t>10. Azathioprine</w:t>
      </w:r>
      <w:proofErr w:type="gramStart"/>
      <w:r w:rsidRPr="00C8233E">
        <w:rPr>
          <w:rFonts w:eastAsia="標楷體" w:cstheme="minorHAnsi" w:hint="eastAsia"/>
        </w:rPr>
        <w:t>錠劑</w:t>
      </w:r>
      <w:proofErr w:type="gramEnd"/>
      <w:r w:rsidRPr="00C8233E">
        <w:rPr>
          <w:rFonts w:eastAsia="標楷體" w:cstheme="minorHAnsi" w:hint="eastAsia"/>
        </w:rPr>
        <w:t>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>11.Murine monoclonal antibody CD3</w:t>
      </w:r>
      <w:r w:rsidRPr="00C8233E">
        <w:rPr>
          <w:rFonts w:eastAsia="標楷體" w:cstheme="minorHAnsi" w:hint="eastAsia"/>
        </w:rPr>
        <w:t>（</w:t>
      </w:r>
      <w:r w:rsidRPr="00C8233E">
        <w:rPr>
          <w:rFonts w:eastAsia="標楷體" w:cstheme="minorHAnsi" w:hint="eastAsia"/>
        </w:rPr>
        <w:t>=</w:t>
      </w:r>
      <w:proofErr w:type="spellStart"/>
      <w:r w:rsidRPr="00C8233E">
        <w:rPr>
          <w:rFonts w:eastAsia="標楷體" w:cstheme="minorHAnsi" w:hint="eastAsia"/>
        </w:rPr>
        <w:t>Muromonal</w:t>
      </w:r>
      <w:proofErr w:type="spellEnd"/>
      <w:r w:rsidRPr="00C8233E">
        <w:rPr>
          <w:rFonts w:eastAsia="標楷體" w:cstheme="minorHAnsi" w:hint="eastAsia"/>
        </w:rPr>
        <w:t xml:space="preserve"> CD3</w:t>
      </w:r>
      <w:r w:rsidRPr="00C8233E">
        <w:rPr>
          <w:rFonts w:eastAsia="標楷體" w:cstheme="minorHAnsi" w:hint="eastAsia"/>
        </w:rPr>
        <w:t>）</w:t>
      </w:r>
      <w:r w:rsidRPr="00C8233E">
        <w:rPr>
          <w:rFonts w:eastAsia="標楷體" w:cstheme="minorHAnsi" w:hint="eastAsia"/>
        </w:rPr>
        <w:t xml:space="preserve"> </w:t>
      </w:r>
      <w:r w:rsidRPr="00C8233E">
        <w:rPr>
          <w:rFonts w:eastAsia="標楷體" w:cstheme="minorHAnsi" w:hint="eastAsia"/>
        </w:rPr>
        <w:t>注射劑。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>12.Albumin</w:t>
      </w:r>
      <w:r w:rsidRPr="00C8233E">
        <w:rPr>
          <w:rFonts w:eastAsia="標楷體" w:cstheme="minorHAnsi" w:hint="eastAsia"/>
        </w:rPr>
        <w:t>製劑、</w:t>
      </w:r>
      <w:r w:rsidRPr="00C8233E">
        <w:rPr>
          <w:rFonts w:eastAsia="標楷體" w:cstheme="minorHAnsi" w:hint="eastAsia"/>
        </w:rPr>
        <w:t>Immunoglobulin</w:t>
      </w:r>
      <w:r w:rsidRPr="00C8233E">
        <w:rPr>
          <w:rFonts w:eastAsia="標楷體" w:cstheme="minorHAnsi" w:hint="eastAsia"/>
        </w:rPr>
        <w:t>製劑、第八凝血因子、第九凝血因子。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>13. Atropine</w:t>
      </w:r>
      <w:r w:rsidRPr="00C8233E">
        <w:rPr>
          <w:rFonts w:eastAsia="標楷體" w:cstheme="minorHAnsi" w:hint="eastAsia"/>
        </w:rPr>
        <w:t>單方成分製劑。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>14. Insulin</w:t>
      </w:r>
      <w:r w:rsidRPr="00C8233E">
        <w:rPr>
          <w:rFonts w:eastAsia="標楷體" w:cstheme="minorHAnsi" w:hint="eastAsia"/>
        </w:rPr>
        <w:t>成分製劑。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15. </w:t>
      </w:r>
      <w:proofErr w:type="spellStart"/>
      <w:r w:rsidRPr="00C8233E">
        <w:rPr>
          <w:rFonts w:eastAsia="標楷體" w:cstheme="minorHAnsi" w:hint="eastAsia"/>
        </w:rPr>
        <w:t>Epoetin</w:t>
      </w:r>
      <w:proofErr w:type="spellEnd"/>
      <w:r w:rsidRPr="00C8233E">
        <w:rPr>
          <w:rFonts w:eastAsia="標楷體" w:cstheme="minorHAnsi" w:hint="eastAsia"/>
        </w:rPr>
        <w:t>成分製劑。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16. </w:t>
      </w:r>
      <w:r w:rsidRPr="00C8233E">
        <w:rPr>
          <w:rFonts w:eastAsia="標楷體" w:cstheme="minorHAnsi" w:hint="eastAsia"/>
        </w:rPr>
        <w:t>腹膜透析液。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17. </w:t>
      </w:r>
      <w:r w:rsidRPr="00C8233E">
        <w:rPr>
          <w:rFonts w:eastAsia="標楷體" w:cstheme="minorHAnsi" w:hint="eastAsia"/>
        </w:rPr>
        <w:t>肺結核病治療用藥。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18. </w:t>
      </w:r>
      <w:proofErr w:type="gramStart"/>
      <w:r w:rsidRPr="00C8233E">
        <w:rPr>
          <w:rFonts w:eastAsia="標楷體" w:cstheme="minorHAnsi" w:hint="eastAsia"/>
        </w:rPr>
        <w:t>限含</w:t>
      </w:r>
      <w:proofErr w:type="gramEnd"/>
      <w:r w:rsidRPr="00C8233E">
        <w:rPr>
          <w:rFonts w:eastAsia="標楷體" w:cstheme="minorHAnsi" w:hint="eastAsia"/>
        </w:rPr>
        <w:t xml:space="preserve">Calcium </w:t>
      </w:r>
      <w:proofErr w:type="spellStart"/>
      <w:r w:rsidRPr="00C8233E">
        <w:rPr>
          <w:rFonts w:eastAsia="標楷體" w:cstheme="minorHAnsi" w:hint="eastAsia"/>
        </w:rPr>
        <w:t>gluconate</w:t>
      </w:r>
      <w:proofErr w:type="spellEnd"/>
      <w:r w:rsidRPr="00C8233E">
        <w:rPr>
          <w:rFonts w:eastAsia="標楷體" w:cstheme="minorHAnsi" w:hint="eastAsia"/>
        </w:rPr>
        <w:t xml:space="preserve"> 10% </w:t>
      </w:r>
      <w:r w:rsidRPr="00C8233E">
        <w:rPr>
          <w:rFonts w:eastAsia="標楷體" w:cstheme="minorHAnsi" w:hint="eastAsia"/>
        </w:rPr>
        <w:t>及</w:t>
      </w:r>
      <w:r w:rsidRPr="00C8233E">
        <w:rPr>
          <w:rFonts w:eastAsia="標楷體" w:cstheme="minorHAnsi" w:hint="eastAsia"/>
        </w:rPr>
        <w:t xml:space="preserve">Calcium </w:t>
      </w:r>
      <w:proofErr w:type="spellStart"/>
      <w:r w:rsidRPr="00C8233E">
        <w:rPr>
          <w:rFonts w:eastAsia="標楷體" w:cstheme="minorHAnsi" w:hint="eastAsia"/>
        </w:rPr>
        <w:t>sacchrate</w:t>
      </w:r>
      <w:proofErr w:type="spellEnd"/>
      <w:r w:rsidRPr="00C8233E">
        <w:rPr>
          <w:rFonts w:eastAsia="標楷體" w:cstheme="minorHAnsi" w:hint="eastAsia"/>
        </w:rPr>
        <w:t xml:space="preserve"> 0.35%</w:t>
      </w:r>
      <w:r w:rsidRPr="00C8233E">
        <w:rPr>
          <w:rFonts w:eastAsia="標楷體" w:cstheme="minorHAnsi" w:hint="eastAsia"/>
        </w:rPr>
        <w:t>之複方注射劑。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>19. Protamine Sulfate</w:t>
      </w:r>
      <w:r w:rsidRPr="00C8233E">
        <w:rPr>
          <w:rFonts w:eastAsia="標楷體" w:cstheme="minorHAnsi" w:hint="eastAsia"/>
        </w:rPr>
        <w:t>單方注射劑。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>20.</w:t>
      </w:r>
      <w:r w:rsidRPr="00C8233E">
        <w:rPr>
          <w:rFonts w:eastAsia="標楷體" w:cstheme="minorHAnsi" w:hint="eastAsia"/>
        </w:rPr>
        <w:t>肺部表面</w:t>
      </w:r>
      <w:proofErr w:type="gramStart"/>
      <w:r w:rsidRPr="00C8233E">
        <w:rPr>
          <w:rFonts w:eastAsia="標楷體" w:cstheme="minorHAnsi" w:hint="eastAsia"/>
        </w:rPr>
        <w:t>活性劑</w:t>
      </w:r>
      <w:proofErr w:type="gramEnd"/>
      <w:r w:rsidRPr="00C8233E">
        <w:rPr>
          <w:rFonts w:eastAsia="標楷體" w:cstheme="minorHAnsi" w:hint="eastAsia"/>
        </w:rPr>
        <w:t>Surfactant</w:t>
      </w:r>
      <w:r w:rsidRPr="00C8233E">
        <w:rPr>
          <w:rFonts w:eastAsia="標楷體" w:cstheme="minorHAnsi" w:hint="eastAsia"/>
        </w:rPr>
        <w:t>製劑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>21.Diethylstilbestrol</w:t>
      </w:r>
      <w:proofErr w:type="gramStart"/>
      <w:r w:rsidRPr="00C8233E">
        <w:rPr>
          <w:rFonts w:eastAsia="標楷體" w:cstheme="minorHAnsi" w:hint="eastAsia"/>
        </w:rPr>
        <w:t>腸溶錠</w:t>
      </w:r>
      <w:proofErr w:type="gramEnd"/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>22.Tetanus Toxoid</w:t>
      </w:r>
      <w:r w:rsidRPr="00C8233E">
        <w:rPr>
          <w:rFonts w:eastAsia="標楷體" w:cstheme="minorHAnsi" w:hint="eastAsia"/>
        </w:rPr>
        <w:t>注射劑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/>
        </w:rPr>
        <w:t>23</w:t>
      </w:r>
      <w:proofErr w:type="gramStart"/>
      <w:r w:rsidRPr="00C8233E">
        <w:rPr>
          <w:rFonts w:eastAsia="標楷體" w:cstheme="minorHAnsi"/>
        </w:rPr>
        <w:t>.TR</w:t>
      </w:r>
      <w:proofErr w:type="gramEnd"/>
      <w:r w:rsidRPr="00C8233E">
        <w:rPr>
          <w:rFonts w:eastAsia="標楷體" w:cstheme="minorHAnsi"/>
        </w:rPr>
        <w:t xml:space="preserve">. </w:t>
      </w:r>
      <w:proofErr w:type="spellStart"/>
      <w:r w:rsidRPr="00C8233E">
        <w:rPr>
          <w:rFonts w:eastAsia="標楷體" w:cstheme="minorHAnsi"/>
        </w:rPr>
        <w:t>Mucrosquamatus</w:t>
      </w:r>
      <w:proofErr w:type="spellEnd"/>
      <w:r w:rsidRPr="00C8233E">
        <w:rPr>
          <w:rFonts w:eastAsia="標楷體" w:cstheme="minorHAnsi"/>
        </w:rPr>
        <w:t xml:space="preserve"> A 1000 Tyrosine Units ,TR. </w:t>
      </w:r>
      <w:proofErr w:type="spellStart"/>
      <w:r w:rsidRPr="00C8233E">
        <w:rPr>
          <w:rFonts w:eastAsia="標楷體" w:cstheme="minorHAnsi"/>
        </w:rPr>
        <w:t>Gramineus</w:t>
      </w:r>
      <w:proofErr w:type="spellEnd"/>
      <w:r w:rsidRPr="00C8233E">
        <w:rPr>
          <w:rFonts w:eastAsia="標楷體" w:cstheme="minorHAnsi" w:hint="eastAsia"/>
        </w:rPr>
        <w:t xml:space="preserve"> </w:t>
      </w:r>
      <w:proofErr w:type="spellStart"/>
      <w:r w:rsidRPr="00C8233E">
        <w:rPr>
          <w:rFonts w:eastAsia="標楷體" w:cstheme="minorHAnsi" w:hint="eastAsia"/>
        </w:rPr>
        <w:t>Antive</w:t>
      </w:r>
      <w:proofErr w:type="spellEnd"/>
      <w:r w:rsidRPr="00C8233E">
        <w:rPr>
          <w:rFonts w:eastAsia="標楷體" w:cstheme="minorHAnsi" w:hint="eastAsia"/>
        </w:rPr>
        <w:t xml:space="preserve"> 1000 Tyrosine Units</w:t>
      </w:r>
      <w:r w:rsidRPr="00C8233E">
        <w:rPr>
          <w:rFonts w:eastAsia="標楷體" w:cstheme="minorHAnsi" w:hint="eastAsia"/>
        </w:rPr>
        <w:t>注射劑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/>
        </w:rPr>
        <w:t>24</w:t>
      </w:r>
      <w:proofErr w:type="gramStart"/>
      <w:r w:rsidRPr="00C8233E">
        <w:rPr>
          <w:rFonts w:eastAsia="標楷體" w:cstheme="minorHAnsi"/>
        </w:rPr>
        <w:t>.B</w:t>
      </w:r>
      <w:proofErr w:type="gramEnd"/>
      <w:r w:rsidRPr="00C8233E">
        <w:rPr>
          <w:rFonts w:eastAsia="標楷體" w:cstheme="minorHAnsi"/>
        </w:rPr>
        <w:t xml:space="preserve">. </w:t>
      </w:r>
      <w:proofErr w:type="spellStart"/>
      <w:r w:rsidRPr="00C8233E">
        <w:rPr>
          <w:rFonts w:eastAsia="標楷體" w:cstheme="minorHAnsi"/>
        </w:rPr>
        <w:t>Multicinctus</w:t>
      </w:r>
      <w:proofErr w:type="spellEnd"/>
      <w:r w:rsidRPr="00C8233E">
        <w:rPr>
          <w:rFonts w:eastAsia="標楷體" w:cstheme="minorHAnsi"/>
        </w:rPr>
        <w:t xml:space="preserve"> Anti 1000 Tyrosine Units ,N. </w:t>
      </w:r>
      <w:proofErr w:type="spellStart"/>
      <w:r w:rsidRPr="00C8233E">
        <w:rPr>
          <w:rFonts w:eastAsia="標楷體" w:cstheme="minorHAnsi"/>
        </w:rPr>
        <w:t>Naja</w:t>
      </w:r>
      <w:proofErr w:type="spellEnd"/>
      <w:r w:rsidRPr="00C8233E">
        <w:rPr>
          <w:rFonts w:eastAsia="標楷體" w:cstheme="minorHAnsi"/>
        </w:rPr>
        <w:t xml:space="preserve"> </w:t>
      </w:r>
      <w:proofErr w:type="spellStart"/>
      <w:r w:rsidRPr="00C8233E">
        <w:rPr>
          <w:rFonts w:eastAsia="標楷體" w:cstheme="minorHAnsi"/>
        </w:rPr>
        <w:t>Atra</w:t>
      </w:r>
      <w:proofErr w:type="spellEnd"/>
      <w:r w:rsidRPr="00C8233E">
        <w:rPr>
          <w:rFonts w:eastAsia="標楷體" w:cstheme="minorHAnsi"/>
        </w:rPr>
        <w:t xml:space="preserve"> </w:t>
      </w:r>
      <w:proofErr w:type="spellStart"/>
      <w:r w:rsidRPr="00C8233E">
        <w:rPr>
          <w:rFonts w:eastAsia="標楷體" w:cstheme="minorHAnsi"/>
        </w:rPr>
        <w:t>Antiven</w:t>
      </w:r>
      <w:proofErr w:type="spellEnd"/>
      <w:r w:rsidRPr="00C8233E">
        <w:rPr>
          <w:rFonts w:eastAsia="標楷體" w:cstheme="minorHAnsi" w:hint="eastAsia"/>
        </w:rPr>
        <w:t xml:space="preserve"> 1000 Tyrosine Units</w:t>
      </w:r>
      <w:r w:rsidRPr="00C8233E">
        <w:rPr>
          <w:rFonts w:eastAsia="標楷體" w:cstheme="minorHAnsi" w:hint="eastAsia"/>
        </w:rPr>
        <w:t>注射劑</w:t>
      </w:r>
    </w:p>
    <w:p w:rsidR="004301FB" w:rsidRPr="00C8233E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 xml:space="preserve">25. A. </w:t>
      </w:r>
      <w:proofErr w:type="spellStart"/>
      <w:r w:rsidRPr="00C8233E">
        <w:rPr>
          <w:rFonts w:eastAsia="標楷體" w:cstheme="minorHAnsi" w:hint="eastAsia"/>
        </w:rPr>
        <w:t>Acutus</w:t>
      </w:r>
      <w:proofErr w:type="spellEnd"/>
      <w:r w:rsidRPr="00C8233E">
        <w:rPr>
          <w:rFonts w:eastAsia="標楷體" w:cstheme="minorHAnsi" w:hint="eastAsia"/>
        </w:rPr>
        <w:t xml:space="preserve"> Antivenin</w:t>
      </w:r>
      <w:r w:rsidRPr="00C8233E">
        <w:rPr>
          <w:rFonts w:eastAsia="標楷體" w:cstheme="minorHAnsi" w:hint="eastAsia"/>
        </w:rPr>
        <w:t>注射劑</w:t>
      </w:r>
    </w:p>
    <w:p w:rsidR="004301FB" w:rsidRDefault="004301FB" w:rsidP="004301FB">
      <w:pPr>
        <w:snapToGrid w:val="0"/>
        <w:spacing w:line="240" w:lineRule="atLeast"/>
        <w:rPr>
          <w:rFonts w:eastAsia="標楷體" w:cstheme="minorHAnsi"/>
        </w:rPr>
      </w:pPr>
      <w:r w:rsidRPr="00C8233E">
        <w:rPr>
          <w:rFonts w:eastAsia="標楷體" w:cstheme="minorHAnsi" w:hint="eastAsia"/>
        </w:rPr>
        <w:t>26.Nitroglycerin</w:t>
      </w:r>
      <w:r w:rsidRPr="00C8233E">
        <w:rPr>
          <w:rFonts w:eastAsia="標楷體" w:cstheme="minorHAnsi" w:hint="eastAsia"/>
        </w:rPr>
        <w:t>注射劑</w:t>
      </w:r>
    </w:p>
    <w:p w:rsidR="001A273B" w:rsidRDefault="001A273B" w:rsidP="004301FB">
      <w:pPr>
        <w:snapToGrid w:val="0"/>
        <w:spacing w:line="240" w:lineRule="atLeast"/>
        <w:rPr>
          <w:rFonts w:eastAsia="標楷體" w:cstheme="minorHAnsi"/>
        </w:rPr>
      </w:pPr>
    </w:p>
    <w:p w:rsidR="001A273B" w:rsidRPr="00170C39" w:rsidRDefault="001A273B" w:rsidP="004301FB">
      <w:pPr>
        <w:snapToGrid w:val="0"/>
        <w:spacing w:line="240" w:lineRule="atLeast"/>
        <w:rPr>
          <w:rFonts w:eastAsia="標楷體" w:cstheme="minorHAnsi"/>
          <w:u w:val="single"/>
        </w:rPr>
      </w:pPr>
    </w:p>
    <w:p w:rsidR="00170C39" w:rsidRPr="00E1759D" w:rsidRDefault="001A273B" w:rsidP="004301FB">
      <w:pPr>
        <w:snapToGrid w:val="0"/>
        <w:spacing w:line="240" w:lineRule="atLeast"/>
        <w:rPr>
          <w:rFonts w:ascii="標楷體" w:eastAsia="標楷體" w:hAnsi="標楷體"/>
          <w:b/>
        </w:rPr>
      </w:pPr>
      <w:r w:rsidRPr="00E1759D">
        <w:rPr>
          <w:rFonts w:eastAsia="標楷體" w:cstheme="minorHAnsi" w:hint="eastAsia"/>
          <w:b/>
          <w:u w:val="single"/>
        </w:rPr>
        <w:t>八、</w:t>
      </w:r>
      <w:proofErr w:type="gramStart"/>
      <w:r w:rsidR="005E3508" w:rsidRPr="00E1759D">
        <w:rPr>
          <w:rFonts w:ascii="標楷體" w:eastAsia="標楷體" w:hAnsi="標楷體" w:hint="eastAsia"/>
          <w:b/>
          <w:u w:val="single"/>
        </w:rPr>
        <w:t>核價劑型</w:t>
      </w:r>
      <w:proofErr w:type="gramEnd"/>
      <w:r w:rsidR="00170C39" w:rsidRPr="00E1759D">
        <w:rPr>
          <w:rFonts w:ascii="標楷體" w:eastAsia="標楷體" w:hAnsi="標楷體" w:hint="eastAsia"/>
          <w:b/>
          <w:u w:val="single"/>
        </w:rPr>
        <w:t>之分類分組織建議：</w:t>
      </w:r>
      <w:r w:rsidR="005E3508" w:rsidRPr="00E1759D">
        <w:rPr>
          <w:rFonts w:ascii="標楷體" w:eastAsia="標楷體" w:hAnsi="標楷體" w:hint="eastAsia"/>
          <w:b/>
        </w:rPr>
        <w:t xml:space="preserve"> </w:t>
      </w:r>
    </w:p>
    <w:p w:rsidR="008F481E" w:rsidRDefault="008F481E" w:rsidP="008F481E">
      <w:pPr>
        <w:snapToGrid w:val="0"/>
        <w:spacing w:line="240" w:lineRule="atLeast"/>
        <w:rPr>
          <w:rFonts w:eastAsia="標楷體" w:cstheme="minorHAnsi"/>
        </w:rPr>
      </w:pPr>
      <w:r>
        <w:rPr>
          <w:rFonts w:eastAsia="標楷體" w:cstheme="minorHAnsi" w:hint="eastAsia"/>
        </w:rPr>
        <w:t>因</w:t>
      </w:r>
      <w:r w:rsidR="00170C39">
        <w:rPr>
          <w:rFonts w:eastAsia="標楷體" w:cstheme="minorHAnsi" w:hint="eastAsia"/>
        </w:rPr>
        <w:t>藥品研發乃根據成分之物理與化學特性，而</w:t>
      </w:r>
      <w:r w:rsidR="00170C39" w:rsidRPr="008F481E">
        <w:rPr>
          <w:rFonts w:eastAsia="標楷體" w:cstheme="minorHAnsi" w:hint="eastAsia"/>
          <w:szCs w:val="24"/>
        </w:rPr>
        <w:t>發展出各種劑型必有其科學證據之基礎，以供臨床醫療之需，例如籠統將劑型為</w:t>
      </w:r>
      <w:r w:rsidRPr="008F481E">
        <w:rPr>
          <w:rFonts w:eastAsia="標楷體" w:cstheme="minorHAnsi" w:hint="eastAsia"/>
          <w:szCs w:val="24"/>
        </w:rPr>
        <w:t>『</w:t>
      </w:r>
      <w:r w:rsidR="00170C39" w:rsidRPr="008F481E">
        <w:rPr>
          <w:rFonts w:eastAsia="標楷體" w:cstheme="minorHAnsi" w:hint="eastAsia"/>
          <w:szCs w:val="24"/>
        </w:rPr>
        <w:t>乾粉注射劑</w:t>
      </w:r>
      <w:r w:rsidRPr="008F481E">
        <w:rPr>
          <w:rFonts w:eastAsia="標楷體" w:cstheme="minorHAnsi" w:hint="eastAsia"/>
          <w:szCs w:val="24"/>
        </w:rPr>
        <w:t>』</w:t>
      </w:r>
      <w:r w:rsidR="00170C39" w:rsidRPr="008F481E">
        <w:rPr>
          <w:rFonts w:eastAsia="標楷體" w:cstheme="minorHAnsi" w:hint="eastAsia"/>
          <w:szCs w:val="24"/>
        </w:rPr>
        <w:t>、</w:t>
      </w:r>
      <w:r>
        <w:rPr>
          <w:rFonts w:eastAsia="標楷體" w:cstheme="minorHAnsi" w:hint="eastAsia"/>
        </w:rPr>
        <w:t>『</w:t>
      </w:r>
      <w:r w:rsidR="00170C39" w:rsidRPr="008F481E">
        <w:rPr>
          <w:rFonts w:eastAsia="標楷體" w:cstheme="minorHAnsi" w:hint="eastAsia"/>
          <w:szCs w:val="24"/>
        </w:rPr>
        <w:t>凍晶注射劑</w:t>
      </w:r>
      <w:r w:rsidRPr="008F481E">
        <w:rPr>
          <w:rFonts w:eastAsia="標楷體" w:cstheme="minorHAnsi" w:hint="eastAsia"/>
          <w:szCs w:val="24"/>
        </w:rPr>
        <w:t>』</w:t>
      </w:r>
      <w:r w:rsidR="00170C39" w:rsidRPr="008F481E">
        <w:rPr>
          <w:rFonts w:eastAsia="標楷體" w:cstheme="minorHAnsi" w:hint="eastAsia"/>
          <w:szCs w:val="24"/>
        </w:rPr>
        <w:t>、</w:t>
      </w:r>
      <w:r>
        <w:rPr>
          <w:rFonts w:eastAsia="標楷體" w:cstheme="minorHAnsi" w:hint="eastAsia"/>
        </w:rPr>
        <w:t>『</w:t>
      </w:r>
      <w:r w:rsidR="00170C39" w:rsidRPr="008F481E">
        <w:rPr>
          <w:rFonts w:eastAsia="標楷體" w:cstheme="minorHAnsi" w:hint="eastAsia"/>
          <w:szCs w:val="24"/>
        </w:rPr>
        <w:t>靜脈輸注液</w:t>
      </w:r>
      <w:r w:rsidRPr="008F481E">
        <w:rPr>
          <w:rFonts w:eastAsia="標楷體" w:cstheme="minorHAnsi" w:hint="eastAsia"/>
          <w:szCs w:val="24"/>
        </w:rPr>
        <w:t>』</w:t>
      </w:r>
      <w:r w:rsidR="00170C39" w:rsidRPr="008F481E">
        <w:rPr>
          <w:rFonts w:eastAsia="標楷體" w:cstheme="minorHAnsi" w:hint="eastAsia"/>
          <w:szCs w:val="24"/>
        </w:rPr>
        <w:t>等，均</w:t>
      </w:r>
      <w:r>
        <w:rPr>
          <w:rFonts w:eastAsia="標楷體" w:cstheme="minorHAnsi" w:hint="eastAsia"/>
          <w:szCs w:val="24"/>
        </w:rPr>
        <w:t>以</w:t>
      </w:r>
      <w:r w:rsidRPr="008F481E">
        <w:rPr>
          <w:rFonts w:eastAsia="標楷體" w:cstheme="minorHAnsi" w:hint="eastAsia"/>
          <w:szCs w:val="24"/>
        </w:rPr>
        <w:t>『注射劑』歸類為</w:t>
      </w:r>
      <w:r>
        <w:rPr>
          <w:rFonts w:eastAsia="標楷體" w:cstheme="minorHAnsi" w:hint="eastAsia"/>
          <w:szCs w:val="24"/>
        </w:rPr>
        <w:t>同一個</w:t>
      </w:r>
      <w:r w:rsidRPr="008F481E">
        <w:rPr>
          <w:rFonts w:eastAsia="標楷體" w:cstheme="minorHAnsi" w:hint="eastAsia"/>
          <w:b/>
          <w:szCs w:val="24"/>
          <w:u w:val="single"/>
        </w:rPr>
        <w:t>『</w:t>
      </w:r>
      <w:r w:rsidRPr="008F481E">
        <w:rPr>
          <w:rFonts w:ascii="標楷體" w:eastAsia="標楷體" w:hAnsi="標楷體" w:hint="eastAsia"/>
          <w:b/>
          <w:u w:val="single"/>
        </w:rPr>
        <w:t>核價劑型』</w:t>
      </w:r>
      <w:r w:rsidRPr="00337961">
        <w:rPr>
          <w:rFonts w:eastAsia="標楷體" w:cstheme="minorHAnsi" w:hint="eastAsia"/>
          <w:highlight w:val="yellow"/>
        </w:rPr>
        <w:t>(</w:t>
      </w:r>
      <w:r w:rsidRPr="00337961">
        <w:rPr>
          <w:rFonts w:eastAsia="標楷體" w:cstheme="minorHAnsi" w:hint="eastAsia"/>
          <w:highlight w:val="yellow"/>
        </w:rPr>
        <w:t>如附件</w:t>
      </w:r>
      <w:r>
        <w:rPr>
          <w:rFonts w:eastAsia="標楷體" w:cstheme="minorHAnsi" w:hint="eastAsia"/>
          <w:highlight w:val="yellow"/>
        </w:rPr>
        <w:t>三：</w:t>
      </w:r>
      <w:r w:rsidRPr="005E3508">
        <w:rPr>
          <w:rFonts w:eastAsia="標楷體" w:cstheme="minorHAnsi" w:hint="eastAsia"/>
        </w:rPr>
        <w:t>劑型代碼對照表</w:t>
      </w:r>
      <w:r w:rsidRPr="00814164">
        <w:rPr>
          <w:rFonts w:eastAsia="標楷體" w:cstheme="minorHAnsi" w:hint="eastAsia"/>
        </w:rPr>
        <w:t>)</w:t>
      </w:r>
      <w:r>
        <w:rPr>
          <w:rFonts w:ascii="標楷體" w:eastAsia="標楷體" w:hAnsi="標楷體" w:hint="eastAsia"/>
        </w:rPr>
        <w:t>，是極為不妥的方式，</w:t>
      </w:r>
      <w:r w:rsidRPr="00814164">
        <w:rPr>
          <w:rFonts w:eastAsia="標楷體" w:cstheme="minorHAnsi" w:hint="eastAsia"/>
        </w:rPr>
        <w:t>建議其分類分組</w:t>
      </w:r>
      <w:r>
        <w:rPr>
          <w:rFonts w:eastAsia="標楷體" w:cstheme="minorHAnsi" w:hint="eastAsia"/>
        </w:rPr>
        <w:t>以藥品之『</w:t>
      </w:r>
      <w:r w:rsidRPr="008F481E">
        <w:rPr>
          <w:rFonts w:ascii="標楷體" w:eastAsia="標楷體" w:hAnsi="標楷體" w:hint="eastAsia"/>
          <w:b/>
          <w:u w:val="single"/>
        </w:rPr>
        <w:t>劑型</w:t>
      </w:r>
      <w:r>
        <w:rPr>
          <w:rFonts w:eastAsia="標楷體" w:cstheme="minorHAnsi" w:hint="eastAsia"/>
        </w:rPr>
        <w:t>』為依據始能代表各藥品劑型之</w:t>
      </w:r>
      <w:r w:rsidR="00BD1B24">
        <w:rPr>
          <w:rFonts w:eastAsia="標楷體" w:cstheme="minorHAnsi" w:hint="eastAsia"/>
        </w:rPr>
        <w:t>獨特處</w:t>
      </w:r>
      <w:r>
        <w:rPr>
          <w:rFonts w:eastAsia="標楷體" w:cstheme="minorHAnsi" w:hint="eastAsia"/>
        </w:rPr>
        <w:t>。</w:t>
      </w:r>
    </w:p>
    <w:p w:rsidR="005E3508" w:rsidRPr="008F481E" w:rsidRDefault="005E3508" w:rsidP="004301FB">
      <w:pPr>
        <w:snapToGrid w:val="0"/>
        <w:spacing w:line="240" w:lineRule="atLeast"/>
        <w:rPr>
          <w:rFonts w:eastAsia="標楷體" w:cstheme="minorHAnsi"/>
        </w:rPr>
      </w:pPr>
    </w:p>
    <w:sectPr w:rsidR="005E3508" w:rsidRPr="008F481E" w:rsidSect="008E0B41">
      <w:footerReference w:type="default" r:id="rId7"/>
      <w:pgSz w:w="11906" w:h="16838"/>
      <w:pgMar w:top="1440" w:right="1700" w:bottom="1135" w:left="1560" w:header="850" w:footer="1003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0E0D" w:rsidRDefault="005A0E0D" w:rsidP="00BA2E6A">
      <w:r>
        <w:separator/>
      </w:r>
    </w:p>
  </w:endnote>
  <w:endnote w:type="continuationSeparator" w:id="0">
    <w:p w:rsidR="005A0E0D" w:rsidRDefault="005A0E0D" w:rsidP="00BA2E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80995562"/>
      <w:docPartObj>
        <w:docPartGallery w:val="Page Numbers (Bottom of Page)"/>
        <w:docPartUnique/>
      </w:docPartObj>
    </w:sdtPr>
    <w:sdtContent>
      <w:p w:rsidR="00BA2E6A" w:rsidRDefault="00C37565" w:rsidP="00510E26">
        <w:pPr>
          <w:pStyle w:val="a5"/>
          <w:jc w:val="center"/>
        </w:pPr>
        <w:r>
          <w:fldChar w:fldCharType="begin"/>
        </w:r>
        <w:r w:rsidR="00BA2E6A">
          <w:instrText>PAGE   \* MERGEFORMAT</w:instrText>
        </w:r>
        <w:r>
          <w:fldChar w:fldCharType="separate"/>
        </w:r>
        <w:r w:rsidR="007D0AF1" w:rsidRPr="007D0AF1">
          <w:rPr>
            <w:noProof/>
            <w:lang w:val="zh-TW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0E0D" w:rsidRDefault="005A0E0D" w:rsidP="00BA2E6A">
      <w:r>
        <w:separator/>
      </w:r>
    </w:p>
  </w:footnote>
  <w:footnote w:type="continuationSeparator" w:id="0">
    <w:p w:rsidR="005A0E0D" w:rsidRDefault="005A0E0D" w:rsidP="00BA2E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4B00CA"/>
    <w:multiLevelType w:val="hybridMultilevel"/>
    <w:tmpl w:val="075A53DC"/>
    <w:lvl w:ilvl="0" w:tplc="7A22F064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">
    <w:nsid w:val="7AE905A6"/>
    <w:multiLevelType w:val="hybridMultilevel"/>
    <w:tmpl w:val="9C528F70"/>
    <w:lvl w:ilvl="0" w:tplc="0409000F">
      <w:start w:val="1"/>
      <w:numFmt w:val="decimal"/>
      <w:lvlText w:val="%1."/>
      <w:lvlJc w:val="left"/>
      <w:pPr>
        <w:ind w:left="960" w:hanging="480"/>
      </w:pPr>
      <w:rPr>
        <w:rFonts w:hint="eastAsia"/>
        <w:sz w:val="28"/>
      </w:rPr>
    </w:lvl>
    <w:lvl w:ilvl="1" w:tplc="0409000F">
      <w:start w:val="1"/>
      <w:numFmt w:val="decimal"/>
      <w:lvlText w:val="%2.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D4F"/>
    <w:rsid w:val="00006DD1"/>
    <w:rsid w:val="000155C5"/>
    <w:rsid w:val="00067FFB"/>
    <w:rsid w:val="00074C24"/>
    <w:rsid w:val="00075D02"/>
    <w:rsid w:val="00093638"/>
    <w:rsid w:val="00136921"/>
    <w:rsid w:val="00156758"/>
    <w:rsid w:val="00164525"/>
    <w:rsid w:val="00170C39"/>
    <w:rsid w:val="001A273B"/>
    <w:rsid w:val="001D4248"/>
    <w:rsid w:val="001E7577"/>
    <w:rsid w:val="0020307A"/>
    <w:rsid w:val="00251D71"/>
    <w:rsid w:val="00256009"/>
    <w:rsid w:val="00267995"/>
    <w:rsid w:val="003333AF"/>
    <w:rsid w:val="00337961"/>
    <w:rsid w:val="003471F0"/>
    <w:rsid w:val="003B3D61"/>
    <w:rsid w:val="003B73F5"/>
    <w:rsid w:val="003C3294"/>
    <w:rsid w:val="003C4B4F"/>
    <w:rsid w:val="004301FB"/>
    <w:rsid w:val="00436048"/>
    <w:rsid w:val="00442838"/>
    <w:rsid w:val="004430FB"/>
    <w:rsid w:val="00460590"/>
    <w:rsid w:val="004B56ED"/>
    <w:rsid w:val="004C050F"/>
    <w:rsid w:val="004C6608"/>
    <w:rsid w:val="004D7889"/>
    <w:rsid w:val="004F756E"/>
    <w:rsid w:val="00510E26"/>
    <w:rsid w:val="00540AA9"/>
    <w:rsid w:val="0055378D"/>
    <w:rsid w:val="00583D4F"/>
    <w:rsid w:val="005A0E0D"/>
    <w:rsid w:val="005E3508"/>
    <w:rsid w:val="005E645C"/>
    <w:rsid w:val="00680107"/>
    <w:rsid w:val="006D383C"/>
    <w:rsid w:val="006E100F"/>
    <w:rsid w:val="00734E14"/>
    <w:rsid w:val="007962F0"/>
    <w:rsid w:val="007D0AF1"/>
    <w:rsid w:val="00811B6D"/>
    <w:rsid w:val="0081341B"/>
    <w:rsid w:val="00814164"/>
    <w:rsid w:val="00846F7B"/>
    <w:rsid w:val="00852123"/>
    <w:rsid w:val="008A0F1B"/>
    <w:rsid w:val="008A2673"/>
    <w:rsid w:val="008E0B41"/>
    <w:rsid w:val="008E3FBF"/>
    <w:rsid w:val="008F481E"/>
    <w:rsid w:val="00901896"/>
    <w:rsid w:val="00924EFD"/>
    <w:rsid w:val="00937E58"/>
    <w:rsid w:val="009A2E51"/>
    <w:rsid w:val="009C383E"/>
    <w:rsid w:val="009F0C91"/>
    <w:rsid w:val="00A832AF"/>
    <w:rsid w:val="00AA121B"/>
    <w:rsid w:val="00AD6992"/>
    <w:rsid w:val="00AD6BBC"/>
    <w:rsid w:val="00AF3FCF"/>
    <w:rsid w:val="00B36D49"/>
    <w:rsid w:val="00B43E73"/>
    <w:rsid w:val="00B84E4F"/>
    <w:rsid w:val="00BA2A65"/>
    <w:rsid w:val="00BA2E6A"/>
    <w:rsid w:val="00BD1B24"/>
    <w:rsid w:val="00C3004C"/>
    <w:rsid w:val="00C37565"/>
    <w:rsid w:val="00C81450"/>
    <w:rsid w:val="00C8233E"/>
    <w:rsid w:val="00C83F44"/>
    <w:rsid w:val="00D038C5"/>
    <w:rsid w:val="00D20124"/>
    <w:rsid w:val="00D31700"/>
    <w:rsid w:val="00D347E0"/>
    <w:rsid w:val="00D4577A"/>
    <w:rsid w:val="00D45CC2"/>
    <w:rsid w:val="00D532F1"/>
    <w:rsid w:val="00D81EB0"/>
    <w:rsid w:val="00D90E23"/>
    <w:rsid w:val="00D91A45"/>
    <w:rsid w:val="00DB0CA1"/>
    <w:rsid w:val="00DD45A7"/>
    <w:rsid w:val="00E02B89"/>
    <w:rsid w:val="00E1759D"/>
    <w:rsid w:val="00E823B8"/>
    <w:rsid w:val="00EA61A3"/>
    <w:rsid w:val="00EC6E4B"/>
    <w:rsid w:val="00EE5CAE"/>
    <w:rsid w:val="00EF2D2C"/>
    <w:rsid w:val="00F354D0"/>
    <w:rsid w:val="00FE43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56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E6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BA2E6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BA2E6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BA2E6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608</Words>
  <Characters>3467</Characters>
  <Application>Microsoft Office Word</Application>
  <DocSecurity>0</DocSecurity>
  <Lines>28</Lines>
  <Paragraphs>8</Paragraphs>
  <ScaleCrop>false</ScaleCrop>
  <Company>sanofi-aventis</Company>
  <LinksUpToDate>false</LinksUpToDate>
  <CharactersWithSpaces>4067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Guo, Wennie PH/TW</dc:creator>
  <cp:lastModifiedBy>candy</cp:lastModifiedBy>
  <cp:revision>2</cp:revision>
  <cp:lastPrinted>2014-01-20T06:26:00Z</cp:lastPrinted>
  <dcterms:created xsi:type="dcterms:W3CDTF">2014-01-23T09:30:00Z</dcterms:created>
  <dcterms:modified xsi:type="dcterms:W3CDTF">2014-01-23T09:30:00Z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-601360234</vt:i4>
  </property>
  <property fmtid="{D5CDD505-2E9C-101B-9397-08002B2CF9AE}" pid="3" name="_NewReviewCycle">
    <vt:lpwstr/>
  </property>
  <property fmtid="{D5CDD505-2E9C-101B-9397-08002B2CF9AE}" pid="4" name="_EmailSubject">
    <vt:lpwstr>公文</vt:lpwstr>
  </property>
  <property fmtid="{D5CDD505-2E9C-101B-9397-08002B2CF9AE}" pid="5" name="_AuthorEmail">
    <vt:lpwstr>Wennie.Guo@sanofi.com</vt:lpwstr>
  </property>
  <property fmtid="{D5CDD505-2E9C-101B-9397-08002B2CF9AE}" pid="6" name="_AuthorEmailDisplayName">
    <vt:lpwstr>Guo, Wennie PH/TW</vt:lpwstr>
  </property>
  <property fmtid="{D5CDD505-2E9C-101B-9397-08002B2CF9AE}" pid="7" name="_ReviewingToolsShownOnce">
    <vt:lpwstr/>
  </property>
</Properties>
</file>