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62" w:type="dxa"/>
        <w:jc w:val="center"/>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7994"/>
      </w:tblGrid>
      <w:tr w:rsidR="00211E09" w:rsidRPr="00136184" w:rsidTr="007C418C">
        <w:trPr>
          <w:trHeight w:val="333"/>
          <w:jc w:val="center"/>
        </w:trPr>
        <w:tc>
          <w:tcPr>
            <w:tcW w:w="10261" w:type="dxa"/>
            <w:gridSpan w:val="2"/>
            <w:tcBorders>
              <w:top w:val="nil"/>
              <w:left w:val="nil"/>
              <w:bottom w:val="nil"/>
              <w:right w:val="nil"/>
            </w:tcBorders>
            <w:vAlign w:val="center"/>
          </w:tcPr>
          <w:p w:rsidR="00211E09" w:rsidRPr="00F5040F" w:rsidRDefault="00971D92" w:rsidP="001D684A">
            <w:pPr>
              <w:pStyle w:val="1"/>
              <w:spacing w:before="0" w:beforeAutospacing="0" w:after="0" w:afterAutospacing="0" w:line="240" w:lineRule="atLeast"/>
              <w:jc w:val="center"/>
              <w:rPr>
                <w:rFonts w:ascii="Times New Roman" w:eastAsia="標楷體" w:hAnsi="Times New Roman" w:cs="Times New Roman"/>
                <w:sz w:val="36"/>
                <w:szCs w:val="36"/>
              </w:rPr>
            </w:pPr>
            <w:r w:rsidRPr="00971D92">
              <w:rPr>
                <w:rFonts w:ascii="Times New Roman" w:hAnsi="Times New Roman" w:cs="Times New Roman"/>
                <w:sz w:val="36"/>
                <w:szCs w:val="36"/>
              </w:rPr>
              <w:t>Ibuprofen</w:t>
            </w:r>
            <w:r>
              <w:rPr>
                <w:rFonts w:ascii="Times New Roman" w:eastAsia="標楷體" w:hAnsi="Times New Roman" w:cs="Times New Roman" w:hint="eastAsia"/>
                <w:sz w:val="36"/>
                <w:szCs w:val="36"/>
              </w:rPr>
              <w:t>成分</w:t>
            </w:r>
            <w:r w:rsidR="00401BF5" w:rsidRPr="00F5040F">
              <w:rPr>
                <w:rFonts w:ascii="Times New Roman" w:eastAsia="標楷體" w:hAnsi="Times New Roman" w:cs="Times New Roman"/>
                <w:sz w:val="36"/>
                <w:szCs w:val="36"/>
              </w:rPr>
              <w:t>藥品</w:t>
            </w:r>
            <w:r w:rsidR="00401BF5" w:rsidRPr="00F5040F">
              <w:rPr>
                <w:rFonts w:ascii="Times New Roman" w:eastAsia="標楷體" w:hAnsi="標楷體" w:cs="Times New Roman"/>
                <w:sz w:val="36"/>
                <w:szCs w:val="36"/>
              </w:rPr>
              <w:t>安全資訊風險溝通表</w:t>
            </w:r>
          </w:p>
        </w:tc>
      </w:tr>
      <w:tr w:rsidR="00211E09" w:rsidRPr="00136184" w:rsidTr="007C418C">
        <w:trPr>
          <w:trHeight w:val="333"/>
          <w:jc w:val="center"/>
        </w:trPr>
        <w:tc>
          <w:tcPr>
            <w:tcW w:w="10261" w:type="dxa"/>
            <w:gridSpan w:val="2"/>
            <w:tcBorders>
              <w:top w:val="nil"/>
              <w:left w:val="nil"/>
              <w:right w:val="nil"/>
            </w:tcBorders>
            <w:vAlign w:val="center"/>
          </w:tcPr>
          <w:p w:rsidR="00211E09" w:rsidRPr="00A27030" w:rsidRDefault="00211E09" w:rsidP="000A047F">
            <w:pPr>
              <w:pStyle w:val="1"/>
              <w:spacing w:before="0" w:beforeAutospacing="0" w:after="0" w:afterAutospacing="0" w:line="240" w:lineRule="atLeast"/>
              <w:jc w:val="right"/>
              <w:rPr>
                <w:rFonts w:ascii="Times New Roman" w:eastAsia="標楷體" w:hAnsi="Times New Roman" w:cs="Times New Roman"/>
                <w:b w:val="0"/>
                <w:sz w:val="24"/>
                <w:szCs w:val="24"/>
              </w:rPr>
            </w:pPr>
            <w:r w:rsidRPr="00A27030">
              <w:rPr>
                <w:rFonts w:ascii="Times New Roman" w:eastAsia="標楷體" w:hAnsi="Times New Roman" w:cs="Times New Roman"/>
                <w:sz w:val="24"/>
                <w:szCs w:val="24"/>
              </w:rPr>
              <w:t xml:space="preserve">  </w:t>
            </w:r>
            <w:bookmarkStart w:id="0" w:name="_GoBack"/>
            <w:bookmarkEnd w:id="0"/>
          </w:p>
        </w:tc>
      </w:tr>
      <w:tr w:rsidR="00401BF5" w:rsidRPr="00136184" w:rsidTr="007C418C">
        <w:trPr>
          <w:trHeight w:val="333"/>
          <w:jc w:val="center"/>
        </w:trPr>
        <w:tc>
          <w:tcPr>
            <w:tcW w:w="2268" w:type="dxa"/>
            <w:vAlign w:val="center"/>
          </w:tcPr>
          <w:p w:rsidR="00401BF5" w:rsidRPr="00A27030" w:rsidRDefault="00401BF5" w:rsidP="009424B6">
            <w:pPr>
              <w:jc w:val="center"/>
              <w:rPr>
                <w:rFonts w:ascii="Times New Roman" w:eastAsia="標楷體" w:hAnsi="Times New Roman"/>
              </w:rPr>
            </w:pPr>
            <w:r w:rsidRPr="00A27030">
              <w:rPr>
                <w:rFonts w:ascii="Times New Roman" w:eastAsia="標楷體" w:hAnsi="標楷體" w:hint="eastAsia"/>
              </w:rPr>
              <w:t>藥品成分</w:t>
            </w:r>
          </w:p>
        </w:tc>
        <w:tc>
          <w:tcPr>
            <w:tcW w:w="7994" w:type="dxa"/>
          </w:tcPr>
          <w:p w:rsidR="00401BF5" w:rsidRPr="00845CD5" w:rsidRDefault="00982F9E" w:rsidP="00982F9E">
            <w:pPr>
              <w:rPr>
                <w:rFonts w:ascii="Times New Roman" w:eastAsia="標楷體" w:hAnsi="Times New Roman"/>
              </w:rPr>
            </w:pPr>
            <w:r w:rsidRPr="00845CD5">
              <w:rPr>
                <w:rFonts w:ascii="Times New Roman" w:eastAsia="標楷體" w:hAnsi="Times New Roman"/>
              </w:rPr>
              <w:t>Ibuprofen</w:t>
            </w:r>
          </w:p>
        </w:tc>
      </w:tr>
      <w:tr w:rsidR="00401BF5" w:rsidRPr="00136184" w:rsidTr="007C418C">
        <w:trPr>
          <w:trHeight w:val="333"/>
          <w:jc w:val="center"/>
        </w:trPr>
        <w:tc>
          <w:tcPr>
            <w:tcW w:w="2268" w:type="dxa"/>
            <w:vAlign w:val="center"/>
          </w:tcPr>
          <w:p w:rsidR="00401BF5" w:rsidRPr="00A27030" w:rsidRDefault="00401BF5" w:rsidP="009424B6">
            <w:pPr>
              <w:jc w:val="center"/>
              <w:rPr>
                <w:rFonts w:ascii="Times New Roman" w:eastAsia="標楷體" w:hAnsi="Times New Roman"/>
              </w:rPr>
            </w:pPr>
            <w:r w:rsidRPr="00A27030">
              <w:rPr>
                <w:rFonts w:ascii="Times New Roman" w:eastAsia="標楷體" w:hAnsi="標楷體" w:hint="eastAsia"/>
              </w:rPr>
              <w:t>藥品名稱</w:t>
            </w:r>
          </w:p>
          <w:p w:rsidR="00401BF5" w:rsidRPr="00A27030" w:rsidRDefault="00401BF5" w:rsidP="009424B6">
            <w:pPr>
              <w:jc w:val="center"/>
              <w:rPr>
                <w:rFonts w:ascii="Times New Roman" w:eastAsia="標楷體" w:hAnsi="Times New Roman"/>
              </w:rPr>
            </w:pPr>
            <w:r w:rsidRPr="00A27030">
              <w:rPr>
                <w:rFonts w:ascii="Times New Roman" w:eastAsia="標楷體" w:hAnsi="標楷體" w:hint="eastAsia"/>
              </w:rPr>
              <w:t>及許可證字號</w:t>
            </w:r>
          </w:p>
        </w:tc>
        <w:tc>
          <w:tcPr>
            <w:tcW w:w="7994" w:type="dxa"/>
          </w:tcPr>
          <w:p w:rsidR="00907BCF" w:rsidRPr="00934FF2" w:rsidRDefault="00401BF5" w:rsidP="00907BCF">
            <w:pPr>
              <w:pStyle w:val="1"/>
              <w:spacing w:before="0" w:beforeAutospacing="0" w:after="0" w:afterAutospacing="0" w:line="240" w:lineRule="atLeast"/>
              <w:rPr>
                <w:rFonts w:ascii="Times New Roman" w:eastAsia="標楷體" w:hAnsi="標楷體" w:cs="Times New Roman"/>
                <w:b w:val="0"/>
                <w:bCs w:val="0"/>
                <w:color w:val="000000" w:themeColor="text1"/>
                <w:sz w:val="24"/>
                <w:szCs w:val="24"/>
              </w:rPr>
            </w:pPr>
            <w:r w:rsidRPr="00A44AB0">
              <w:rPr>
                <w:rFonts w:ascii="Times New Roman" w:eastAsia="標楷體" w:hAnsi="Times New Roman" w:cs="Times New Roman"/>
                <w:b w:val="0"/>
                <w:sz w:val="24"/>
                <w:szCs w:val="24"/>
              </w:rPr>
              <w:t>衛生福利部核准含</w:t>
            </w:r>
            <w:r w:rsidR="00845CD5">
              <w:rPr>
                <w:rFonts w:ascii="Times New Roman" w:eastAsia="標楷體" w:hAnsi="Times New Roman" w:cs="Times New Roman" w:hint="eastAsia"/>
                <w:b w:val="0"/>
                <w:sz w:val="24"/>
                <w:szCs w:val="24"/>
              </w:rPr>
              <w:t>i</w:t>
            </w:r>
            <w:r w:rsidR="00845CD5" w:rsidRPr="00845CD5">
              <w:rPr>
                <w:rFonts w:ascii="Times New Roman" w:eastAsia="標楷體" w:hAnsi="Times New Roman" w:cs="Times New Roman"/>
                <w:b w:val="0"/>
                <w:sz w:val="24"/>
                <w:szCs w:val="24"/>
              </w:rPr>
              <w:t>buprofen</w:t>
            </w:r>
            <w:r w:rsidR="00845CD5" w:rsidRPr="00845CD5">
              <w:rPr>
                <w:rFonts w:ascii="Times New Roman" w:eastAsia="標楷體" w:hAnsi="標楷體" w:cs="Times New Roman"/>
                <w:b w:val="0"/>
                <w:sz w:val="24"/>
                <w:szCs w:val="24"/>
              </w:rPr>
              <w:t>成分</w:t>
            </w:r>
            <w:r w:rsidRPr="00A44AB0">
              <w:rPr>
                <w:rFonts w:ascii="Times New Roman" w:eastAsia="標楷體" w:hAnsi="Times New Roman" w:cs="Times New Roman"/>
                <w:b w:val="0"/>
                <w:sz w:val="24"/>
                <w:szCs w:val="24"/>
              </w:rPr>
              <w:t>藥品製劑許可證共</w:t>
            </w:r>
            <w:r w:rsidR="00D01960">
              <w:rPr>
                <w:rFonts w:ascii="Times New Roman" w:eastAsia="標楷體" w:hAnsi="Times New Roman" w:cs="Times New Roman" w:hint="eastAsia"/>
                <w:b w:val="0"/>
                <w:sz w:val="24"/>
                <w:szCs w:val="24"/>
              </w:rPr>
              <w:t>184</w:t>
            </w:r>
            <w:r w:rsidRPr="00A44AB0">
              <w:rPr>
                <w:rFonts w:ascii="Times New Roman" w:eastAsia="標楷體" w:hAnsi="Times New Roman" w:cs="Times New Roman"/>
                <w:b w:val="0"/>
                <w:sz w:val="24"/>
                <w:szCs w:val="24"/>
              </w:rPr>
              <w:t>張。網址：</w:t>
            </w:r>
            <w:r w:rsidR="00105937">
              <w:rPr>
                <w:rFonts w:ascii="Times New Roman" w:eastAsia="標楷體" w:hAnsi="Times New Roman" w:cs="Times New Roman"/>
                <w:b w:val="0"/>
                <w:bCs w:val="0"/>
                <w:color w:val="000000" w:themeColor="text1"/>
                <w:sz w:val="24"/>
                <w:szCs w:val="24"/>
              </w:rPr>
              <w:fldChar w:fldCharType="begin"/>
            </w:r>
            <w:r w:rsidR="00907BCF">
              <w:rPr>
                <w:rFonts w:ascii="Times New Roman" w:eastAsia="標楷體" w:hAnsi="Times New Roman" w:cs="Times New Roman"/>
                <w:b w:val="0"/>
                <w:bCs w:val="0"/>
                <w:color w:val="000000" w:themeColor="text1"/>
                <w:sz w:val="24"/>
                <w:szCs w:val="24"/>
              </w:rPr>
              <w:instrText xml:space="preserve"> HYPERLINK "</w:instrText>
            </w:r>
            <w:r w:rsidR="00907BCF" w:rsidRPr="00907BCF">
              <w:rPr>
                <w:rFonts w:ascii="Times New Roman" w:eastAsia="標楷體" w:hAnsi="Times New Roman" w:cs="Times New Roman"/>
                <w:b w:val="0"/>
                <w:bCs w:val="0"/>
                <w:color w:val="000000" w:themeColor="text1"/>
                <w:sz w:val="24"/>
                <w:szCs w:val="24"/>
              </w:rPr>
              <w:instrText>http://www.fda.gov.tw/MLMS/(S(5dbxob45quj4ecmoypkmdw55))/H0001.aspx</w:instrText>
            </w:r>
            <w:r w:rsidR="00907BCF">
              <w:rPr>
                <w:rFonts w:ascii="Times New Roman" w:eastAsia="標楷體" w:hAnsi="Times New Roman" w:cs="Times New Roman"/>
                <w:b w:val="0"/>
                <w:bCs w:val="0"/>
                <w:color w:val="000000" w:themeColor="text1"/>
                <w:sz w:val="24"/>
                <w:szCs w:val="24"/>
              </w:rPr>
              <w:instrText xml:space="preserve">" </w:instrText>
            </w:r>
            <w:r w:rsidR="00105937">
              <w:rPr>
                <w:rFonts w:ascii="Times New Roman" w:eastAsia="標楷體" w:hAnsi="Times New Roman" w:cs="Times New Roman"/>
                <w:b w:val="0"/>
                <w:bCs w:val="0"/>
                <w:color w:val="000000" w:themeColor="text1"/>
                <w:sz w:val="24"/>
                <w:szCs w:val="24"/>
              </w:rPr>
              <w:fldChar w:fldCharType="separate"/>
            </w:r>
            <w:r w:rsidR="00907BCF" w:rsidRPr="003767BE">
              <w:rPr>
                <w:rStyle w:val="ab"/>
                <w:rFonts w:ascii="Times New Roman" w:eastAsia="標楷體" w:hAnsi="Times New Roman"/>
                <w:b w:val="0"/>
                <w:bCs w:val="0"/>
                <w:sz w:val="24"/>
                <w:szCs w:val="24"/>
              </w:rPr>
              <w:t>http://www.fda.gov.tw/MLMS/(S(5dbxob45quj4ecmoypkmdw55))/H0001.aspx</w:t>
            </w:r>
            <w:r w:rsidR="00105937">
              <w:rPr>
                <w:rFonts w:ascii="Times New Roman" w:eastAsia="標楷體" w:hAnsi="Times New Roman" w:cs="Times New Roman"/>
                <w:b w:val="0"/>
                <w:bCs w:val="0"/>
                <w:color w:val="000000" w:themeColor="text1"/>
                <w:sz w:val="24"/>
                <w:szCs w:val="24"/>
              </w:rPr>
              <w:fldChar w:fldCharType="end"/>
            </w:r>
          </w:p>
        </w:tc>
      </w:tr>
      <w:tr w:rsidR="00401BF5" w:rsidRPr="0064071A" w:rsidTr="007C418C">
        <w:trPr>
          <w:trHeight w:val="333"/>
          <w:jc w:val="center"/>
        </w:trPr>
        <w:tc>
          <w:tcPr>
            <w:tcW w:w="2268" w:type="dxa"/>
            <w:vAlign w:val="center"/>
          </w:tcPr>
          <w:p w:rsidR="00401BF5" w:rsidRPr="00621754" w:rsidRDefault="00401BF5" w:rsidP="009424B6">
            <w:pPr>
              <w:jc w:val="center"/>
              <w:rPr>
                <w:rFonts w:ascii="Times New Roman" w:eastAsia="標楷體" w:hAnsi="Times New Roman"/>
              </w:rPr>
            </w:pPr>
            <w:r w:rsidRPr="00621754">
              <w:rPr>
                <w:rFonts w:ascii="Times New Roman" w:eastAsia="標楷體" w:hAnsi="標楷體" w:hint="eastAsia"/>
                <w:color w:val="000000"/>
              </w:rPr>
              <w:t>適應症</w:t>
            </w:r>
          </w:p>
        </w:tc>
        <w:tc>
          <w:tcPr>
            <w:tcW w:w="7994" w:type="dxa"/>
            <w:shd w:val="clear" w:color="auto" w:fill="auto"/>
          </w:tcPr>
          <w:p w:rsidR="00401BF5" w:rsidRPr="00284807" w:rsidRDefault="00B330CD" w:rsidP="00B330CD">
            <w:pPr>
              <w:jc w:val="both"/>
              <w:rPr>
                <w:rFonts w:ascii="Times New Roman" w:eastAsia="標楷體" w:hAnsi="Times New Roman"/>
                <w:szCs w:val="24"/>
              </w:rPr>
            </w:pPr>
            <w:r>
              <w:rPr>
                <w:rFonts w:ascii="Times New Roman" w:eastAsia="標楷體" w:hAnsi="標楷體"/>
              </w:rPr>
              <w:t>消炎、</w:t>
            </w:r>
            <w:r w:rsidR="00DE62CC">
              <w:rPr>
                <w:rFonts w:ascii="Times New Roman" w:eastAsia="標楷體" w:hAnsi="Times New Roman" w:hint="eastAsia"/>
              </w:rPr>
              <w:t>解熱及鎮痛</w:t>
            </w:r>
            <w:r w:rsidR="00401BF5" w:rsidRPr="00284807">
              <w:rPr>
                <w:rFonts w:ascii="Times New Roman" w:eastAsia="標楷體" w:hAnsi="標楷體"/>
              </w:rPr>
              <w:t>。</w:t>
            </w:r>
          </w:p>
        </w:tc>
      </w:tr>
      <w:tr w:rsidR="00401BF5" w:rsidRPr="00661481" w:rsidTr="007C418C">
        <w:trPr>
          <w:jc w:val="center"/>
        </w:trPr>
        <w:tc>
          <w:tcPr>
            <w:tcW w:w="2268" w:type="dxa"/>
            <w:vAlign w:val="center"/>
          </w:tcPr>
          <w:p w:rsidR="00401BF5" w:rsidRDefault="00401BF5" w:rsidP="009424B6">
            <w:pPr>
              <w:jc w:val="center"/>
              <w:rPr>
                <w:rFonts w:ascii="Times New Roman" w:eastAsia="標楷體" w:hAnsi="標楷體"/>
              </w:rPr>
            </w:pPr>
            <w:r>
              <w:rPr>
                <w:rFonts w:ascii="Times New Roman" w:eastAsia="標楷體" w:hAnsi="標楷體" w:hint="eastAsia"/>
              </w:rPr>
              <w:t>藥理作用機轉</w:t>
            </w:r>
          </w:p>
        </w:tc>
        <w:tc>
          <w:tcPr>
            <w:tcW w:w="7994" w:type="dxa"/>
            <w:shd w:val="clear" w:color="auto" w:fill="auto"/>
          </w:tcPr>
          <w:p w:rsidR="001428D7" w:rsidRPr="00593F3D" w:rsidRDefault="001428D7" w:rsidP="00475F7B">
            <w:pPr>
              <w:rPr>
                <w:rFonts w:ascii="Times New Roman" w:eastAsia="標楷體" w:hAnsi="Times New Roman"/>
              </w:rPr>
            </w:pPr>
            <w:r>
              <w:rPr>
                <w:rFonts w:ascii="Times New Roman" w:eastAsia="標楷體" w:hAnsi="Times New Roman" w:hint="eastAsia"/>
              </w:rPr>
              <w:t>抑制前列腺素的合成，</w:t>
            </w:r>
            <w:r w:rsidR="00E852C6">
              <w:rPr>
                <w:rFonts w:ascii="Times New Roman" w:eastAsia="標楷體" w:hAnsi="Times New Roman" w:hint="eastAsia"/>
              </w:rPr>
              <w:t>達到抗發炎、解熱及鎮痛的作用。</w:t>
            </w:r>
          </w:p>
        </w:tc>
      </w:tr>
      <w:tr w:rsidR="00401BF5" w:rsidRPr="00136184" w:rsidTr="007C418C">
        <w:trPr>
          <w:trHeight w:val="896"/>
          <w:jc w:val="center"/>
        </w:trPr>
        <w:tc>
          <w:tcPr>
            <w:tcW w:w="2268" w:type="dxa"/>
            <w:vAlign w:val="center"/>
          </w:tcPr>
          <w:p w:rsidR="00401BF5" w:rsidRPr="00C859E3" w:rsidRDefault="00401BF5" w:rsidP="009424B6">
            <w:pPr>
              <w:jc w:val="center"/>
              <w:rPr>
                <w:rFonts w:ascii="Times New Roman" w:eastAsia="標楷體" w:hAnsi="標楷體"/>
                <w:color w:val="000000"/>
              </w:rPr>
            </w:pPr>
            <w:r w:rsidRPr="00C859E3">
              <w:rPr>
                <w:rFonts w:ascii="Times New Roman" w:eastAsia="標楷體" w:hAnsi="標楷體" w:hint="eastAsia"/>
                <w:color w:val="000000"/>
              </w:rPr>
              <w:t>訊息緣由</w:t>
            </w:r>
          </w:p>
        </w:tc>
        <w:tc>
          <w:tcPr>
            <w:tcW w:w="7994" w:type="dxa"/>
          </w:tcPr>
          <w:p w:rsidR="00401BF5" w:rsidRPr="00A41C55" w:rsidRDefault="00044A4C" w:rsidP="007472FC">
            <w:pPr>
              <w:ind w:left="17" w:firstLineChars="7" w:firstLine="17"/>
              <w:rPr>
                <w:rFonts w:ascii="Times New Roman" w:eastAsia="標楷體" w:hAnsi="Times New Roman"/>
                <w:color w:val="000000"/>
                <w:szCs w:val="24"/>
              </w:rPr>
            </w:pPr>
            <w:r>
              <w:rPr>
                <w:rFonts w:ascii="Times New Roman" w:eastAsia="標楷體" w:hAnsi="Times New Roman"/>
                <w:szCs w:val="24"/>
              </w:rPr>
              <w:t>2015/5/</w:t>
            </w:r>
            <w:r>
              <w:rPr>
                <w:rFonts w:ascii="Times New Roman" w:eastAsia="標楷體" w:hAnsi="Times New Roman" w:hint="eastAsia"/>
                <w:szCs w:val="24"/>
              </w:rPr>
              <w:t>22</w:t>
            </w:r>
            <w:r w:rsidR="004D3C86" w:rsidRPr="00F07066">
              <w:rPr>
                <w:rFonts w:ascii="Times New Roman" w:eastAsia="標楷體" w:hAnsi="標楷體"/>
                <w:szCs w:val="24"/>
              </w:rPr>
              <w:t>歐洲醫藥管理局</w:t>
            </w:r>
            <w:r w:rsidR="007472FC">
              <w:rPr>
                <w:rFonts w:ascii="Times New Roman" w:eastAsia="標楷體" w:hAnsi="標楷體"/>
                <w:szCs w:val="24"/>
              </w:rPr>
              <w:t>（</w:t>
            </w:r>
            <w:r w:rsidR="007472FC">
              <w:rPr>
                <w:rFonts w:ascii="Times New Roman" w:eastAsia="標楷體" w:hAnsi="標楷體" w:hint="eastAsia"/>
                <w:szCs w:val="24"/>
              </w:rPr>
              <w:t>EMA</w:t>
            </w:r>
            <w:r w:rsidR="007472FC">
              <w:rPr>
                <w:rFonts w:ascii="Times New Roman" w:eastAsia="標楷體" w:hAnsi="標楷體"/>
                <w:szCs w:val="24"/>
              </w:rPr>
              <w:t>）</w:t>
            </w:r>
            <w:r w:rsidR="003734B3">
              <w:rPr>
                <w:rFonts w:ascii="Times New Roman" w:eastAsia="標楷體" w:hAnsi="Times New Roman" w:hint="eastAsia"/>
                <w:szCs w:val="24"/>
              </w:rPr>
              <w:t>發布</w:t>
            </w:r>
            <w:r w:rsidR="004D3C86" w:rsidRPr="00F07066">
              <w:rPr>
                <w:rFonts w:ascii="Times New Roman" w:eastAsia="標楷體" w:hAnsi="標楷體"/>
                <w:shd w:val="clear" w:color="auto" w:fill="FFFFFF"/>
              </w:rPr>
              <w:t>對於</w:t>
            </w:r>
            <w:r w:rsidR="004D3C86">
              <w:rPr>
                <w:rFonts w:ascii="Times New Roman" w:eastAsia="標楷體" w:hAnsi="標楷體" w:hint="eastAsia"/>
                <w:shd w:val="clear" w:color="auto" w:fill="FFFFFF"/>
              </w:rPr>
              <w:t>高劑量</w:t>
            </w:r>
            <w:r w:rsidR="004D3C86">
              <w:rPr>
                <w:rFonts w:ascii="Times New Roman" w:eastAsia="標楷體" w:hAnsi="Times New Roman" w:hint="eastAsia"/>
                <w:szCs w:val="24"/>
              </w:rPr>
              <w:t>i</w:t>
            </w:r>
            <w:r w:rsidR="004D3C86" w:rsidRPr="00845CD5">
              <w:rPr>
                <w:rFonts w:ascii="Times New Roman" w:eastAsia="標楷體" w:hAnsi="Times New Roman"/>
                <w:szCs w:val="24"/>
              </w:rPr>
              <w:t>buprofen</w:t>
            </w:r>
            <w:r w:rsidR="004D3C86">
              <w:rPr>
                <w:rFonts w:ascii="Times New Roman" w:eastAsia="標楷體" w:hAnsi="標楷體"/>
                <w:shd w:val="clear" w:color="auto" w:fill="FFFFFF"/>
              </w:rPr>
              <w:t>之</w:t>
            </w:r>
            <w:r w:rsidR="004D3C86" w:rsidRPr="00F07066">
              <w:rPr>
                <w:rFonts w:ascii="Times New Roman" w:eastAsia="標楷體" w:hAnsi="標楷體"/>
                <w:shd w:val="clear" w:color="auto" w:fill="FFFFFF"/>
              </w:rPr>
              <w:t>建議</w:t>
            </w:r>
            <w:r w:rsidR="00401BF5" w:rsidRPr="006E2977">
              <w:rPr>
                <w:rFonts w:ascii="Times New Roman" w:eastAsia="標楷體" w:hAnsi="Times New Roman"/>
                <w:szCs w:val="24"/>
              </w:rPr>
              <w:t>。</w:t>
            </w:r>
            <w:r w:rsidR="00401BF5" w:rsidRPr="006E2977">
              <w:rPr>
                <w:rFonts w:ascii="Times New Roman" w:eastAsia="標楷體" w:hAnsi="Times New Roman"/>
                <w:color w:val="000000"/>
                <w:szCs w:val="24"/>
              </w:rPr>
              <w:t>網址：</w:t>
            </w:r>
            <w:hyperlink r:id="rId8" w:history="1">
              <w:r w:rsidR="00A444D4" w:rsidRPr="003767BE">
                <w:rPr>
                  <w:rStyle w:val="ab"/>
                  <w:rFonts w:ascii="Times New Roman" w:eastAsia="標楷體" w:hAnsi="Times New Roman"/>
                  <w:szCs w:val="24"/>
                </w:rPr>
                <w:t>http://www.ema.europa.eu/ema/index.jsp?curl=pages/news_and_events/news/2015/05/news_detail_002337.jsp&amp;mid=WC0b01ac058004d5c1</w:t>
              </w:r>
            </w:hyperlink>
          </w:p>
        </w:tc>
      </w:tr>
      <w:tr w:rsidR="00401BF5" w:rsidRPr="00136184" w:rsidTr="00181DFD">
        <w:trPr>
          <w:trHeight w:val="5445"/>
          <w:jc w:val="center"/>
        </w:trPr>
        <w:tc>
          <w:tcPr>
            <w:tcW w:w="2268" w:type="dxa"/>
            <w:vAlign w:val="center"/>
          </w:tcPr>
          <w:p w:rsidR="00401BF5" w:rsidRPr="00B57AEE" w:rsidRDefault="00401BF5" w:rsidP="009424B6">
            <w:pPr>
              <w:jc w:val="center"/>
              <w:rPr>
                <w:rFonts w:ascii="Times New Roman" w:eastAsia="標楷體" w:hAnsi="Times New Roman"/>
              </w:rPr>
            </w:pPr>
            <w:r w:rsidRPr="00B57AEE">
              <w:rPr>
                <w:rFonts w:ascii="Times New Roman" w:eastAsia="標楷體" w:hAnsi="標楷體" w:hint="eastAsia"/>
              </w:rPr>
              <w:t>藥品安全有關資訊分析及描述</w:t>
            </w:r>
          </w:p>
        </w:tc>
        <w:tc>
          <w:tcPr>
            <w:tcW w:w="7994" w:type="dxa"/>
          </w:tcPr>
          <w:p w:rsidR="00401BF5" w:rsidRPr="00E076D9" w:rsidRDefault="00C32215" w:rsidP="001C1356">
            <w:pPr>
              <w:pStyle w:val="a9"/>
              <w:numPr>
                <w:ilvl w:val="0"/>
                <w:numId w:val="2"/>
              </w:numPr>
              <w:ind w:leftChars="0"/>
              <w:jc w:val="both"/>
              <w:rPr>
                <w:rFonts w:ascii="Times New Roman" w:eastAsia="標楷體" w:hAnsi="Times New Roman"/>
              </w:rPr>
            </w:pPr>
            <w:r>
              <w:rPr>
                <w:rFonts w:ascii="Times New Roman" w:eastAsia="標楷體" w:hAnsi="Times New Roman" w:hint="eastAsia"/>
              </w:rPr>
              <w:t>EMA</w:t>
            </w:r>
            <w:r>
              <w:rPr>
                <w:rFonts w:ascii="Times New Roman" w:eastAsia="標楷體" w:hAnsi="Times New Roman" w:hint="eastAsia"/>
              </w:rPr>
              <w:t>之</w:t>
            </w:r>
            <w:r w:rsidRPr="00F07066">
              <w:rPr>
                <w:rFonts w:ascii="Times New Roman" w:eastAsia="標楷體" w:hAnsi="標楷體"/>
                <w:shd w:val="clear" w:color="auto" w:fill="FFFFFF"/>
              </w:rPr>
              <w:t>藥物安全監視風險評估委員會</w:t>
            </w:r>
            <w:r>
              <w:rPr>
                <w:rFonts w:ascii="Times New Roman" w:eastAsia="標楷體" w:hAnsi="標楷體"/>
                <w:shd w:val="clear" w:color="auto" w:fill="FFFFFF"/>
              </w:rPr>
              <w:t>（</w:t>
            </w:r>
            <w:r w:rsidRPr="00E076D9">
              <w:rPr>
                <w:rFonts w:ascii="Times New Roman" w:eastAsia="標楷體" w:hAnsi="Times New Roman"/>
              </w:rPr>
              <w:t>PRAC</w:t>
            </w:r>
            <w:r>
              <w:rPr>
                <w:rFonts w:ascii="Times New Roman" w:eastAsia="標楷體" w:hAnsi="標楷體"/>
                <w:shd w:val="clear" w:color="auto" w:fill="FFFFFF"/>
              </w:rPr>
              <w:t>）</w:t>
            </w:r>
            <w:r w:rsidR="00B339EE" w:rsidRPr="00E076D9">
              <w:rPr>
                <w:rFonts w:ascii="Times New Roman" w:eastAsia="標楷體" w:hAnsi="標楷體"/>
              </w:rPr>
              <w:t>評估</w:t>
            </w:r>
            <w:r w:rsidR="00880748">
              <w:rPr>
                <w:rFonts w:ascii="Times New Roman" w:eastAsia="標楷體" w:hAnsi="標楷體" w:hint="eastAsia"/>
              </w:rPr>
              <w:t>統合分析與流行病學研究的數據後，</w:t>
            </w:r>
            <w:r w:rsidR="00B339EE" w:rsidRPr="00E076D9">
              <w:rPr>
                <w:rFonts w:ascii="Times New Roman" w:eastAsia="標楷體" w:hAnsi="標楷體"/>
              </w:rPr>
              <w:t>認為</w:t>
            </w:r>
            <w:r w:rsidR="00B339EE" w:rsidRPr="00E076D9">
              <w:rPr>
                <w:rFonts w:ascii="Times New Roman" w:eastAsia="標楷體" w:hAnsi="標楷體"/>
                <w:shd w:val="clear" w:color="auto" w:fill="FFFFFF"/>
              </w:rPr>
              <w:t>服用高劑量</w:t>
            </w:r>
            <w:r w:rsidR="00B339EE" w:rsidRPr="00E076D9">
              <w:rPr>
                <w:rFonts w:ascii="Times New Roman" w:eastAsia="標楷體" w:hAnsi="Times New Roman"/>
              </w:rPr>
              <w:t>ibuprofen</w:t>
            </w:r>
            <w:r w:rsidR="00B339EE" w:rsidRPr="00E076D9">
              <w:rPr>
                <w:rFonts w:ascii="Times New Roman" w:eastAsia="標楷體" w:hAnsi="標楷體"/>
              </w:rPr>
              <w:t>（每日劑量</w:t>
            </w:r>
            <w:r w:rsidR="00B339EE" w:rsidRPr="00E076D9">
              <w:rPr>
                <w:rFonts w:ascii="標楷體" w:eastAsia="標楷體" w:hAnsi="標楷體"/>
              </w:rPr>
              <w:t>≧</w:t>
            </w:r>
            <w:r w:rsidR="00B339EE" w:rsidRPr="00E076D9">
              <w:rPr>
                <w:rFonts w:ascii="Times New Roman" w:eastAsia="標楷體" w:hAnsi="Times New Roman"/>
              </w:rPr>
              <w:t>2400mg</w:t>
            </w:r>
            <w:r w:rsidR="00B339EE" w:rsidRPr="00E076D9">
              <w:rPr>
                <w:rFonts w:ascii="Times New Roman" w:eastAsia="標楷體" w:hAnsi="標楷體"/>
              </w:rPr>
              <w:t>）</w:t>
            </w:r>
            <w:r w:rsidR="00A94195">
              <w:rPr>
                <w:rFonts w:ascii="Times New Roman" w:eastAsia="標楷體" w:hAnsi="標楷體" w:hint="eastAsia"/>
              </w:rPr>
              <w:t>之風險</w:t>
            </w:r>
            <w:r w:rsidR="00B339EE" w:rsidRPr="00E076D9">
              <w:rPr>
                <w:rFonts w:ascii="Times New Roman" w:eastAsia="標楷體" w:hAnsi="標楷體"/>
              </w:rPr>
              <w:t>與</w:t>
            </w:r>
            <w:r>
              <w:rPr>
                <w:rFonts w:ascii="Times New Roman" w:eastAsia="標楷體" w:hAnsi="標楷體" w:hint="eastAsia"/>
              </w:rPr>
              <w:t>某</w:t>
            </w:r>
            <w:r w:rsidR="00C476E4" w:rsidRPr="00E076D9">
              <w:rPr>
                <w:rFonts w:ascii="Times New Roman" w:eastAsia="標楷體" w:hAnsi="標楷體"/>
              </w:rPr>
              <w:t>些</w:t>
            </w:r>
            <w:r>
              <w:rPr>
                <w:rFonts w:ascii="Times New Roman" w:eastAsia="標楷體" w:hAnsi="標楷體" w:hint="eastAsia"/>
              </w:rPr>
              <w:t>非類固醇類</w:t>
            </w:r>
            <w:r w:rsidR="00C476E4" w:rsidRPr="00E076D9">
              <w:rPr>
                <w:rFonts w:ascii="Times New Roman" w:eastAsia="標楷體" w:hAnsi="標楷體"/>
              </w:rPr>
              <w:t>消炎止痛藥（</w:t>
            </w:r>
            <w:r w:rsidR="00C476E4" w:rsidRPr="00E076D9">
              <w:rPr>
                <w:rFonts w:ascii="Times New Roman" w:eastAsia="標楷體" w:hAnsi="Times New Roman"/>
              </w:rPr>
              <w:t>COX-2</w:t>
            </w:r>
            <w:r w:rsidR="00C476E4" w:rsidRPr="00E076D9">
              <w:rPr>
                <w:rFonts w:ascii="Times New Roman" w:eastAsia="標楷體" w:hAnsi="標楷體"/>
              </w:rPr>
              <w:t>抑制劑及</w:t>
            </w:r>
            <w:r w:rsidR="00C476E4" w:rsidRPr="00E076D9">
              <w:rPr>
                <w:rFonts w:ascii="Times New Roman" w:eastAsia="標楷體" w:hAnsi="Times New Roman"/>
              </w:rPr>
              <w:t>diclofenac</w:t>
            </w:r>
            <w:r w:rsidR="00C476E4" w:rsidRPr="00E076D9">
              <w:rPr>
                <w:rFonts w:ascii="Times New Roman" w:eastAsia="標楷體" w:hAnsi="標楷體"/>
              </w:rPr>
              <w:t>）相</w:t>
            </w:r>
            <w:r>
              <w:rPr>
                <w:rFonts w:ascii="Times New Roman" w:eastAsia="標楷體" w:hAnsi="標楷體" w:hint="eastAsia"/>
              </w:rPr>
              <w:t>似</w:t>
            </w:r>
            <w:r w:rsidR="00C476E4" w:rsidRPr="00E076D9">
              <w:rPr>
                <w:rFonts w:ascii="Times New Roman" w:eastAsia="標楷體" w:hAnsi="標楷體"/>
              </w:rPr>
              <w:t>，</w:t>
            </w:r>
            <w:r w:rsidR="00B339EE" w:rsidRPr="00E076D9">
              <w:rPr>
                <w:rFonts w:ascii="Times New Roman" w:eastAsia="標楷體" w:hAnsi="標楷體"/>
              </w:rPr>
              <w:t>會</w:t>
            </w:r>
            <w:r>
              <w:rPr>
                <w:rFonts w:ascii="Times New Roman" w:eastAsia="標楷體" w:hAnsi="標楷體" w:hint="eastAsia"/>
              </w:rPr>
              <w:t>略</w:t>
            </w:r>
            <w:r w:rsidR="00B339EE" w:rsidRPr="00E076D9">
              <w:rPr>
                <w:rFonts w:ascii="Times New Roman" w:eastAsia="標楷體" w:hAnsi="標楷體"/>
              </w:rPr>
              <w:t>微增加心血管</w:t>
            </w:r>
            <w:r>
              <w:rPr>
                <w:rFonts w:ascii="Times New Roman" w:eastAsia="標楷體" w:hAnsi="標楷體" w:hint="eastAsia"/>
              </w:rPr>
              <w:t>疾病的</w:t>
            </w:r>
            <w:r w:rsidR="00B339EE" w:rsidRPr="00E076D9">
              <w:rPr>
                <w:rFonts w:ascii="Times New Roman" w:eastAsia="標楷體" w:hAnsi="標楷體"/>
              </w:rPr>
              <w:t>風險，如心臟病發作或中風</w:t>
            </w:r>
            <w:r w:rsidR="00F3211E" w:rsidRPr="00E076D9">
              <w:rPr>
                <w:rFonts w:ascii="Times New Roman" w:eastAsia="標楷體" w:hAnsi="標楷體"/>
              </w:rPr>
              <w:t>；但若每日劑量</w:t>
            </w:r>
            <w:r w:rsidR="00D9690F">
              <w:rPr>
                <w:rFonts w:ascii="Times New Roman" w:eastAsia="標楷體" w:hAnsi="標楷體" w:hint="eastAsia"/>
              </w:rPr>
              <w:t>為</w:t>
            </w:r>
            <w:r w:rsidR="00F3211E" w:rsidRPr="00E076D9">
              <w:rPr>
                <w:rFonts w:ascii="Times New Roman" w:eastAsia="標楷體" w:hAnsi="Times New Roman"/>
              </w:rPr>
              <w:t>1200mg</w:t>
            </w:r>
            <w:r w:rsidR="00181DFD">
              <w:rPr>
                <w:rFonts w:ascii="Times New Roman" w:eastAsia="標楷體" w:hAnsi="Times New Roman" w:hint="eastAsia"/>
              </w:rPr>
              <w:t>(</w:t>
            </w:r>
            <w:r w:rsidR="00181DFD">
              <w:rPr>
                <w:rFonts w:ascii="Times New Roman" w:eastAsia="標楷體" w:hAnsi="Times New Roman" w:hint="eastAsia"/>
              </w:rPr>
              <w:t>歐盟</w:t>
            </w:r>
            <w:r w:rsidR="00181DFD">
              <w:rPr>
                <w:rFonts w:ascii="Times New Roman" w:eastAsia="標楷體" w:hAnsi="Times New Roman" w:hint="eastAsia"/>
              </w:rPr>
              <w:t>OTC</w:t>
            </w:r>
            <w:r w:rsidR="00181DFD">
              <w:rPr>
                <w:rFonts w:ascii="Times New Roman" w:eastAsia="標楷體" w:hAnsi="Times New Roman" w:hint="eastAsia"/>
              </w:rPr>
              <w:t>最大劑量</w:t>
            </w:r>
            <w:r w:rsidR="00181DFD">
              <w:rPr>
                <w:rFonts w:ascii="Times New Roman" w:eastAsia="標楷體" w:hAnsi="Times New Roman" w:hint="eastAsia"/>
              </w:rPr>
              <w:t>)</w:t>
            </w:r>
            <w:r w:rsidR="00F3211E" w:rsidRPr="00E076D9">
              <w:rPr>
                <w:rFonts w:ascii="Times New Roman" w:eastAsia="標楷體" w:hAnsi="標楷體"/>
              </w:rPr>
              <w:t>時，則未發現</w:t>
            </w:r>
            <w:r>
              <w:rPr>
                <w:rFonts w:ascii="Times New Roman" w:eastAsia="標楷體" w:hAnsi="標楷體" w:hint="eastAsia"/>
              </w:rPr>
              <w:t>有</w:t>
            </w:r>
            <w:r w:rsidR="00F3211E" w:rsidRPr="00E076D9">
              <w:rPr>
                <w:rFonts w:ascii="Times New Roman" w:eastAsia="標楷體" w:hAnsi="標楷體"/>
              </w:rPr>
              <w:t>心血管風險增加</w:t>
            </w:r>
            <w:r>
              <w:rPr>
                <w:rFonts w:ascii="Times New Roman" w:eastAsia="標楷體" w:hAnsi="標楷體" w:hint="eastAsia"/>
              </w:rPr>
              <w:t>的情形</w:t>
            </w:r>
            <w:r w:rsidR="00B339EE" w:rsidRPr="00E076D9">
              <w:rPr>
                <w:rFonts w:ascii="Times New Roman" w:eastAsia="標楷體" w:hAnsi="標楷體"/>
              </w:rPr>
              <w:t>。</w:t>
            </w:r>
          </w:p>
          <w:p w:rsidR="001C1356" w:rsidRPr="00181DFD" w:rsidRDefault="000917BC" w:rsidP="001C1356">
            <w:pPr>
              <w:pStyle w:val="a9"/>
              <w:numPr>
                <w:ilvl w:val="0"/>
                <w:numId w:val="2"/>
              </w:numPr>
              <w:ind w:leftChars="0"/>
              <w:jc w:val="both"/>
              <w:rPr>
                <w:rFonts w:ascii="Times New Roman" w:eastAsia="標楷體" w:hAnsi="Times New Roman"/>
              </w:rPr>
            </w:pPr>
            <w:r>
              <w:rPr>
                <w:rFonts w:ascii="Times New Roman" w:eastAsia="標楷體" w:hAnsi="Times New Roman" w:hint="eastAsia"/>
              </w:rPr>
              <w:t>PRAC</w:t>
            </w:r>
            <w:r>
              <w:rPr>
                <w:rFonts w:ascii="Times New Roman" w:eastAsia="標楷體" w:hAnsi="Times New Roman" w:hint="eastAsia"/>
              </w:rPr>
              <w:t>建議</w:t>
            </w:r>
            <w:r w:rsidR="00FF0B58">
              <w:rPr>
                <w:rFonts w:ascii="Times New Roman" w:eastAsia="標楷體" w:hAnsi="Times New Roman" w:hint="eastAsia"/>
              </w:rPr>
              <w:t>患有潛在心臟或循環系統疾病（如心臟衰竭、心臟疾病、循環系統疾病</w:t>
            </w:r>
            <w:r>
              <w:rPr>
                <w:rFonts w:ascii="Times New Roman" w:eastAsia="標楷體" w:hAnsi="Times New Roman" w:hint="eastAsia"/>
              </w:rPr>
              <w:t>或</w:t>
            </w:r>
            <w:r w:rsidR="00181DFD">
              <w:rPr>
                <w:rFonts w:ascii="Times New Roman" w:eastAsia="標楷體" w:hAnsi="Times New Roman" w:hint="eastAsia"/>
              </w:rPr>
              <w:t>曾</w:t>
            </w:r>
            <w:r w:rsidR="00C32215">
              <w:rPr>
                <w:rFonts w:ascii="Times New Roman" w:eastAsia="標楷體" w:hAnsi="Times New Roman" w:hint="eastAsia"/>
              </w:rPr>
              <w:t>有</w:t>
            </w:r>
            <w:r w:rsidR="00FF0B58" w:rsidRPr="00E076D9">
              <w:rPr>
                <w:rFonts w:ascii="Times New Roman" w:eastAsia="標楷體" w:hAnsi="標楷體"/>
              </w:rPr>
              <w:t>心臟病發作或中風</w:t>
            </w:r>
            <w:r w:rsidR="00C32215">
              <w:rPr>
                <w:rFonts w:ascii="Times New Roman" w:eastAsia="標楷體" w:hAnsi="標楷體" w:hint="eastAsia"/>
              </w:rPr>
              <w:t>病史</w:t>
            </w:r>
            <w:r w:rsidR="00FF0B58">
              <w:rPr>
                <w:rFonts w:ascii="Times New Roman" w:eastAsia="標楷體" w:hAnsi="Times New Roman" w:hint="eastAsia"/>
              </w:rPr>
              <w:t>）者</w:t>
            </w:r>
            <w:r>
              <w:rPr>
                <w:rFonts w:ascii="Times New Roman" w:eastAsia="標楷體" w:hAnsi="Times New Roman" w:hint="eastAsia"/>
              </w:rPr>
              <w:t>，</w:t>
            </w:r>
            <w:r w:rsidR="00FF0B58">
              <w:rPr>
                <w:rFonts w:ascii="Times New Roman" w:eastAsia="標楷體" w:hAnsi="Times New Roman" w:hint="eastAsia"/>
              </w:rPr>
              <w:t>應避免使用</w:t>
            </w:r>
            <w:r w:rsidR="00C32215" w:rsidRPr="00E076D9">
              <w:rPr>
                <w:rFonts w:ascii="Times New Roman" w:eastAsia="標楷體" w:hAnsi="標楷體"/>
                <w:shd w:val="clear" w:color="auto" w:fill="FFFFFF"/>
              </w:rPr>
              <w:t>高劑量</w:t>
            </w:r>
            <w:r w:rsidR="00C32215" w:rsidRPr="00E076D9">
              <w:rPr>
                <w:rFonts w:ascii="Times New Roman" w:eastAsia="標楷體" w:hAnsi="Times New Roman"/>
              </w:rPr>
              <w:t>ibuprofen</w:t>
            </w:r>
            <w:r w:rsidR="00C32215" w:rsidRPr="00E076D9">
              <w:rPr>
                <w:rFonts w:ascii="Times New Roman" w:eastAsia="標楷體" w:hAnsi="標楷體"/>
              </w:rPr>
              <w:t>（每日劑量</w:t>
            </w:r>
            <w:r w:rsidR="00C32215" w:rsidRPr="00E076D9">
              <w:rPr>
                <w:rFonts w:ascii="標楷體" w:eastAsia="標楷體" w:hAnsi="標楷體"/>
              </w:rPr>
              <w:t>≧</w:t>
            </w:r>
            <w:r w:rsidR="00C32215" w:rsidRPr="00E076D9">
              <w:rPr>
                <w:rFonts w:ascii="Times New Roman" w:eastAsia="標楷體" w:hAnsi="Times New Roman"/>
              </w:rPr>
              <w:t>2400mg</w:t>
            </w:r>
            <w:r w:rsidR="00C32215" w:rsidRPr="00E076D9">
              <w:rPr>
                <w:rFonts w:ascii="Times New Roman" w:eastAsia="標楷體" w:hAnsi="標楷體"/>
              </w:rPr>
              <w:t>）</w:t>
            </w:r>
            <w:r w:rsidR="00FF0B58" w:rsidRPr="008D7C6C">
              <w:rPr>
                <w:rFonts w:ascii="Times New Roman" w:eastAsia="標楷體" w:hAnsi="標楷體"/>
              </w:rPr>
              <w:t>以降低心血管風險。</w:t>
            </w:r>
          </w:p>
          <w:p w:rsidR="00181DFD" w:rsidRPr="008D7C6C" w:rsidRDefault="00D9690F" w:rsidP="00181DFD">
            <w:pPr>
              <w:pStyle w:val="a9"/>
              <w:numPr>
                <w:ilvl w:val="0"/>
                <w:numId w:val="2"/>
              </w:numPr>
              <w:ind w:leftChars="0"/>
              <w:jc w:val="both"/>
              <w:rPr>
                <w:rFonts w:ascii="Times New Roman" w:eastAsia="標楷體" w:hAnsi="Times New Roman"/>
              </w:rPr>
            </w:pPr>
            <w:r>
              <w:rPr>
                <w:rFonts w:ascii="Times New Roman" w:eastAsia="標楷體" w:hAnsi="Times New Roman" w:hint="eastAsia"/>
              </w:rPr>
              <w:t>若</w:t>
            </w:r>
            <w:r w:rsidR="00181DFD" w:rsidRPr="00181DFD">
              <w:rPr>
                <w:rFonts w:ascii="Times New Roman" w:eastAsia="標楷體" w:hAnsi="Times New Roman" w:hint="eastAsia"/>
              </w:rPr>
              <w:t>需</w:t>
            </w:r>
            <w:r w:rsidR="00181DFD">
              <w:rPr>
                <w:rFonts w:ascii="Times New Roman" w:eastAsia="標楷體" w:hAnsi="Times New Roman" w:hint="eastAsia"/>
              </w:rPr>
              <w:t>長期</w:t>
            </w:r>
            <w:r>
              <w:rPr>
                <w:rFonts w:ascii="Times New Roman" w:eastAsia="標楷體" w:hAnsi="Times New Roman" w:hint="eastAsia"/>
              </w:rPr>
              <w:t>服</w:t>
            </w:r>
            <w:r w:rsidR="00181DFD" w:rsidRPr="00181DFD">
              <w:rPr>
                <w:rFonts w:ascii="Times New Roman" w:eastAsia="標楷體" w:hAnsi="Times New Roman" w:hint="eastAsia"/>
              </w:rPr>
              <w:t>用</w:t>
            </w:r>
            <w:r w:rsidR="00181DFD" w:rsidRPr="008D7C6C">
              <w:rPr>
                <w:rFonts w:ascii="Times New Roman" w:eastAsia="標楷體" w:hAnsi="Times New Roman"/>
              </w:rPr>
              <w:t>ibuprofen</w:t>
            </w:r>
            <w:r w:rsidR="00181DFD">
              <w:rPr>
                <w:rFonts w:ascii="Times New Roman" w:eastAsia="標楷體" w:hAnsi="Times New Roman" w:hint="eastAsia"/>
              </w:rPr>
              <w:t>(</w:t>
            </w:r>
            <w:r w:rsidR="00181DFD">
              <w:rPr>
                <w:rFonts w:ascii="Times New Roman" w:eastAsia="標楷體" w:hAnsi="Times New Roman" w:hint="eastAsia"/>
              </w:rPr>
              <w:t>特別是高劑量</w:t>
            </w:r>
            <w:r w:rsidR="00181DFD">
              <w:rPr>
                <w:rFonts w:ascii="Times New Roman" w:eastAsia="標楷體" w:hAnsi="Times New Roman" w:hint="eastAsia"/>
              </w:rPr>
              <w:t>)</w:t>
            </w:r>
            <w:r w:rsidR="00181DFD">
              <w:rPr>
                <w:rFonts w:ascii="Times New Roman" w:eastAsia="標楷體" w:hAnsi="Times New Roman" w:hint="eastAsia"/>
              </w:rPr>
              <w:t>時，</w:t>
            </w:r>
            <w:r w:rsidR="00181DFD">
              <w:rPr>
                <w:rFonts w:ascii="標楷體" w:eastAsia="標楷體" w:hAnsi="標楷體" w:hint="eastAsia"/>
              </w:rPr>
              <w:t>醫生</w:t>
            </w:r>
            <w:r w:rsidR="00181DFD">
              <w:rPr>
                <w:rFonts w:ascii="Times New Roman" w:eastAsia="標楷體" w:hAnsi="Times New Roman" w:hint="eastAsia"/>
              </w:rPr>
              <w:t>應於</w:t>
            </w:r>
            <w:r w:rsidR="007267D8">
              <w:rPr>
                <w:rFonts w:ascii="Times New Roman" w:eastAsia="標楷體" w:hAnsi="Times New Roman" w:hint="eastAsia"/>
              </w:rPr>
              <w:t>開始</w:t>
            </w:r>
            <w:r w:rsidR="00181DFD">
              <w:rPr>
                <w:rFonts w:ascii="Times New Roman" w:eastAsia="標楷體" w:hAnsi="Times New Roman" w:hint="eastAsia"/>
              </w:rPr>
              <w:t>治療前</w:t>
            </w:r>
            <w:r w:rsidR="00181DFD">
              <w:rPr>
                <w:rFonts w:ascii="Times New Roman" w:eastAsia="標楷體" w:hAnsi="標楷體" w:hint="eastAsia"/>
              </w:rPr>
              <w:t>謹慎評估病人</w:t>
            </w:r>
            <w:r w:rsidR="00181DFD">
              <w:rPr>
                <w:rFonts w:ascii="Times New Roman" w:eastAsia="標楷體" w:hAnsi="Times New Roman" w:hint="eastAsia"/>
              </w:rPr>
              <w:t>心臟或循環系統疾病之風險因子</w:t>
            </w:r>
            <w:r w:rsidR="00181DFD">
              <w:rPr>
                <w:rFonts w:ascii="標楷體" w:eastAsia="標楷體" w:hAnsi="標楷體" w:hint="eastAsia"/>
              </w:rPr>
              <w:t>，包括吸煙，高血壓，糖尿病和高血脂。</w:t>
            </w:r>
          </w:p>
          <w:p w:rsidR="008D7C6C" w:rsidRPr="005D6F4F" w:rsidRDefault="008D7C6C" w:rsidP="001C1356">
            <w:pPr>
              <w:pStyle w:val="a9"/>
              <w:numPr>
                <w:ilvl w:val="0"/>
                <w:numId w:val="2"/>
              </w:numPr>
              <w:ind w:leftChars="0"/>
              <w:jc w:val="both"/>
              <w:rPr>
                <w:rFonts w:ascii="Times New Roman" w:eastAsia="標楷體" w:hAnsi="Times New Roman"/>
              </w:rPr>
            </w:pPr>
            <w:r w:rsidRPr="008D7C6C">
              <w:rPr>
                <w:rFonts w:ascii="Times New Roman" w:eastAsia="標楷體" w:hAnsi="Times New Roman"/>
                <w:shd w:val="clear" w:color="auto" w:fill="FFFFFF"/>
              </w:rPr>
              <w:t>PRAC</w:t>
            </w:r>
            <w:r w:rsidRPr="008D7C6C">
              <w:rPr>
                <w:rFonts w:ascii="Times New Roman" w:eastAsia="標楷體" w:hAnsi="標楷體"/>
                <w:shd w:val="clear" w:color="auto" w:fill="FFFFFF"/>
              </w:rPr>
              <w:t>亦評估</w:t>
            </w:r>
            <w:r w:rsidRPr="008D7C6C">
              <w:rPr>
                <w:rFonts w:ascii="Times New Roman" w:eastAsia="標楷體" w:hAnsi="Times New Roman"/>
              </w:rPr>
              <w:t>ibuprofen</w:t>
            </w:r>
            <w:r w:rsidRPr="008D7C6C">
              <w:rPr>
                <w:rFonts w:ascii="Times New Roman" w:eastAsia="標楷體" w:hAnsi="標楷體"/>
              </w:rPr>
              <w:t>與低劑量</w:t>
            </w:r>
            <w:r w:rsidRPr="008D7C6C">
              <w:rPr>
                <w:rFonts w:ascii="Times New Roman" w:eastAsia="標楷體" w:hAnsi="Times New Roman"/>
              </w:rPr>
              <w:t>aspirin</w:t>
            </w:r>
            <w:r w:rsidRPr="008D7C6C">
              <w:rPr>
                <w:rFonts w:ascii="Times New Roman" w:eastAsia="標楷體" w:hAnsi="標楷體"/>
              </w:rPr>
              <w:t>之交互作用，認為雖於實驗室研究中顯示</w:t>
            </w:r>
            <w:r w:rsidRPr="008D7C6C">
              <w:rPr>
                <w:rFonts w:ascii="Times New Roman" w:eastAsia="標楷體" w:hAnsi="Times New Roman"/>
              </w:rPr>
              <w:t>ibuprofen</w:t>
            </w:r>
            <w:r w:rsidRPr="008D7C6C">
              <w:rPr>
                <w:rFonts w:ascii="Times New Roman" w:eastAsia="標楷體" w:hAnsi="標楷體"/>
              </w:rPr>
              <w:t>會降低</w:t>
            </w:r>
            <w:r w:rsidRPr="008D7C6C">
              <w:rPr>
                <w:rFonts w:ascii="Times New Roman" w:eastAsia="標楷體" w:hAnsi="Times New Roman"/>
              </w:rPr>
              <w:t>aspirin</w:t>
            </w:r>
            <w:r w:rsidRPr="008D7C6C">
              <w:rPr>
                <w:rFonts w:ascii="Times New Roman" w:eastAsia="標楷體" w:hAnsi="標楷體"/>
              </w:rPr>
              <w:t>之抗凝血作用</w:t>
            </w:r>
            <w:r w:rsidR="00257D6F">
              <w:rPr>
                <w:rFonts w:ascii="Times New Roman" w:eastAsia="標楷體" w:hAnsi="標楷體" w:hint="eastAsia"/>
              </w:rPr>
              <w:t>，</w:t>
            </w:r>
            <w:r w:rsidR="00FD20DE">
              <w:rPr>
                <w:rFonts w:ascii="Times New Roman" w:eastAsia="標楷體" w:hAnsi="標楷體"/>
              </w:rPr>
              <w:t>但</w:t>
            </w:r>
            <w:r w:rsidR="00257D6F">
              <w:rPr>
                <w:rFonts w:ascii="Times New Roman" w:eastAsia="標楷體" w:hAnsi="標楷體" w:hint="eastAsia"/>
              </w:rPr>
              <w:t>仍</w:t>
            </w:r>
            <w:r w:rsidR="00FD20DE">
              <w:rPr>
                <w:rFonts w:ascii="Times New Roman" w:eastAsia="標楷體" w:hAnsi="標楷體"/>
              </w:rPr>
              <w:t>無法確</w:t>
            </w:r>
            <w:r w:rsidR="00FD20DE">
              <w:rPr>
                <w:rFonts w:ascii="Times New Roman" w:eastAsia="標楷體" w:hAnsi="標楷體" w:hint="eastAsia"/>
              </w:rPr>
              <w:t>認</w:t>
            </w:r>
            <w:r w:rsidR="00257D6F">
              <w:rPr>
                <w:rFonts w:ascii="Times New Roman" w:eastAsia="標楷體" w:hAnsi="標楷體" w:hint="eastAsia"/>
              </w:rPr>
              <w:t>臨床上</w:t>
            </w:r>
            <w:r w:rsidRPr="008D7C6C">
              <w:rPr>
                <w:rFonts w:ascii="Times New Roman" w:eastAsia="標楷體" w:hAnsi="標楷體"/>
              </w:rPr>
              <w:t>長期使用</w:t>
            </w:r>
            <w:r w:rsidRPr="008D7C6C">
              <w:rPr>
                <w:rFonts w:ascii="Times New Roman" w:eastAsia="標楷體" w:hAnsi="Times New Roman"/>
              </w:rPr>
              <w:t>ibuprofen</w:t>
            </w:r>
            <w:r w:rsidRPr="008D7C6C">
              <w:rPr>
                <w:rFonts w:ascii="Times New Roman" w:eastAsia="標楷體" w:hAnsi="標楷體"/>
              </w:rPr>
              <w:t>會降低</w:t>
            </w:r>
            <w:r w:rsidRPr="008D7C6C">
              <w:rPr>
                <w:rFonts w:ascii="Times New Roman" w:eastAsia="標楷體" w:hAnsi="Times New Roman"/>
              </w:rPr>
              <w:t>aspirin</w:t>
            </w:r>
            <w:r w:rsidRPr="008D7C6C">
              <w:rPr>
                <w:rFonts w:ascii="Times New Roman" w:eastAsia="標楷體" w:hAnsi="標楷體"/>
              </w:rPr>
              <w:t>預防心臟病發作及中風的</w:t>
            </w:r>
            <w:r w:rsidR="002F580F">
              <w:rPr>
                <w:rFonts w:ascii="Times New Roman" w:eastAsia="標楷體" w:hAnsi="標楷體" w:hint="eastAsia"/>
              </w:rPr>
              <w:t>效用</w:t>
            </w:r>
            <w:r w:rsidR="00FD20DE">
              <w:rPr>
                <w:rFonts w:ascii="Times New Roman" w:eastAsia="標楷體" w:hAnsi="標楷體" w:hint="eastAsia"/>
              </w:rPr>
              <w:t>。</w:t>
            </w:r>
            <w:r w:rsidRPr="008D7C6C">
              <w:rPr>
                <w:rFonts w:ascii="Times New Roman" w:eastAsia="標楷體" w:hAnsi="標楷體"/>
              </w:rPr>
              <w:t>偶爾使用</w:t>
            </w:r>
            <w:r w:rsidRPr="008D7C6C">
              <w:rPr>
                <w:rFonts w:ascii="Times New Roman" w:eastAsia="標楷體" w:hAnsi="Times New Roman"/>
              </w:rPr>
              <w:t>ibuprofen</w:t>
            </w:r>
            <w:r w:rsidRPr="008D7C6C">
              <w:rPr>
                <w:rFonts w:ascii="Times New Roman" w:eastAsia="標楷體" w:hAnsi="標楷體"/>
              </w:rPr>
              <w:t>應不會影響</w:t>
            </w:r>
            <w:r w:rsidR="00FD20DE" w:rsidRPr="008D7C6C">
              <w:rPr>
                <w:rFonts w:ascii="Times New Roman" w:eastAsia="標楷體" w:hAnsi="標楷體"/>
              </w:rPr>
              <w:t>低劑量</w:t>
            </w:r>
            <w:r w:rsidRPr="008D7C6C">
              <w:rPr>
                <w:rFonts w:ascii="Times New Roman" w:eastAsia="標楷體" w:hAnsi="Times New Roman"/>
              </w:rPr>
              <w:t>aspirin</w:t>
            </w:r>
            <w:r w:rsidRPr="008D7C6C">
              <w:rPr>
                <w:rFonts w:ascii="Times New Roman" w:eastAsia="標楷體" w:hAnsi="標楷體"/>
              </w:rPr>
              <w:t>之療效。</w:t>
            </w:r>
          </w:p>
          <w:p w:rsidR="00401BF5" w:rsidRPr="000D5701" w:rsidRDefault="00C9059B" w:rsidP="007267D8">
            <w:pPr>
              <w:pStyle w:val="a9"/>
              <w:numPr>
                <w:ilvl w:val="0"/>
                <w:numId w:val="2"/>
              </w:numPr>
              <w:ind w:leftChars="0" w:left="444" w:hanging="444"/>
              <w:jc w:val="both"/>
              <w:rPr>
                <w:rFonts w:ascii="Times New Roman" w:eastAsia="標楷體"/>
              </w:rPr>
            </w:pPr>
            <w:r>
              <w:rPr>
                <w:rFonts w:ascii="Times New Roman" w:eastAsia="標楷體" w:hAnsi="Times New Roman" w:hint="eastAsia"/>
                <w:szCs w:val="24"/>
              </w:rPr>
              <w:t>歐盟協調小組（</w:t>
            </w:r>
            <w:proofErr w:type="spellStart"/>
            <w:r>
              <w:rPr>
                <w:rFonts w:ascii="Times New Roman" w:eastAsia="標楷體" w:hAnsi="Times New Roman" w:hint="eastAsia"/>
                <w:szCs w:val="24"/>
              </w:rPr>
              <w:t>CMDh</w:t>
            </w:r>
            <w:proofErr w:type="spellEnd"/>
            <w:r>
              <w:rPr>
                <w:rFonts w:ascii="Times New Roman" w:eastAsia="標楷體" w:hAnsi="Times New Roman" w:hint="eastAsia"/>
                <w:szCs w:val="24"/>
              </w:rPr>
              <w:t>）</w:t>
            </w:r>
            <w:r w:rsidR="00132D89">
              <w:rPr>
                <w:rFonts w:ascii="Times New Roman" w:eastAsia="標楷體" w:hAnsi="Times New Roman" w:hint="eastAsia"/>
                <w:szCs w:val="24"/>
              </w:rPr>
              <w:t>並於</w:t>
            </w:r>
            <w:r w:rsidR="00132D89">
              <w:rPr>
                <w:rFonts w:ascii="Times New Roman" w:eastAsia="標楷體" w:hAnsi="Times New Roman" w:hint="eastAsia"/>
                <w:szCs w:val="24"/>
              </w:rPr>
              <w:t>2015</w:t>
            </w:r>
            <w:r w:rsidR="00132D89">
              <w:rPr>
                <w:rFonts w:ascii="Times New Roman" w:eastAsia="標楷體" w:hAnsi="Times New Roman" w:hint="eastAsia"/>
                <w:szCs w:val="24"/>
              </w:rPr>
              <w:t>年</w:t>
            </w:r>
            <w:r w:rsidR="00132D89">
              <w:rPr>
                <w:rFonts w:ascii="Times New Roman" w:eastAsia="標楷體" w:hAnsi="Times New Roman" w:hint="eastAsia"/>
                <w:szCs w:val="24"/>
              </w:rPr>
              <w:t>5</w:t>
            </w:r>
            <w:r w:rsidR="00132D89">
              <w:rPr>
                <w:rFonts w:ascii="Times New Roman" w:eastAsia="標楷體" w:hAnsi="Times New Roman" w:hint="eastAsia"/>
                <w:szCs w:val="24"/>
              </w:rPr>
              <w:t>月</w:t>
            </w:r>
            <w:r>
              <w:rPr>
                <w:rFonts w:ascii="Times New Roman" w:eastAsia="標楷體" w:hAnsi="Times New Roman" w:hint="eastAsia"/>
                <w:szCs w:val="24"/>
              </w:rPr>
              <w:t>同意</w:t>
            </w:r>
            <w:r w:rsidR="00132D89">
              <w:rPr>
                <w:rFonts w:ascii="Times New Roman" w:eastAsia="標楷體" w:hAnsi="標楷體" w:hint="eastAsia"/>
                <w:shd w:val="clear" w:color="auto" w:fill="FFFFFF"/>
              </w:rPr>
              <w:t>接受</w:t>
            </w:r>
            <w:r w:rsidR="00132D89">
              <w:rPr>
                <w:rFonts w:ascii="Times New Roman" w:eastAsia="標楷體" w:hAnsi="標楷體" w:hint="eastAsia"/>
                <w:shd w:val="clear" w:color="auto" w:fill="FFFFFF"/>
              </w:rPr>
              <w:t>PRAC</w:t>
            </w:r>
            <w:r w:rsidR="00132D89">
              <w:rPr>
                <w:rFonts w:ascii="Times New Roman" w:eastAsia="標楷體" w:hAnsi="標楷體" w:hint="eastAsia"/>
                <w:shd w:val="clear" w:color="auto" w:fill="FFFFFF"/>
              </w:rPr>
              <w:t>之建議</w:t>
            </w:r>
            <w:r w:rsidR="005D6F4F">
              <w:rPr>
                <w:rFonts w:ascii="Times New Roman" w:eastAsia="標楷體" w:hAnsi="標楷體" w:hint="eastAsia"/>
                <w:shd w:val="clear" w:color="auto" w:fill="FFFFFF"/>
              </w:rPr>
              <w:t>。</w:t>
            </w:r>
          </w:p>
        </w:tc>
      </w:tr>
      <w:tr w:rsidR="00181DFD" w:rsidRPr="00136184" w:rsidTr="007C418C">
        <w:trPr>
          <w:trHeight w:val="10685"/>
          <w:jc w:val="center"/>
        </w:trPr>
        <w:tc>
          <w:tcPr>
            <w:tcW w:w="2268" w:type="dxa"/>
            <w:vAlign w:val="center"/>
          </w:tcPr>
          <w:p w:rsidR="00181DFD" w:rsidRPr="00B57AEE" w:rsidRDefault="00181DFD" w:rsidP="009424B6">
            <w:pPr>
              <w:jc w:val="center"/>
              <w:rPr>
                <w:rFonts w:ascii="Times New Roman" w:eastAsia="標楷體" w:hAnsi="標楷體"/>
              </w:rPr>
            </w:pPr>
            <w:r>
              <w:rPr>
                <w:rFonts w:ascii="Times New Roman" w:eastAsia="標楷體" w:hAnsi="標楷體" w:hint="eastAsia"/>
              </w:rPr>
              <w:lastRenderedPageBreak/>
              <w:t>TFDA</w:t>
            </w:r>
          </w:p>
        </w:tc>
        <w:tc>
          <w:tcPr>
            <w:tcW w:w="7994" w:type="dxa"/>
          </w:tcPr>
          <w:p w:rsidR="00181DFD" w:rsidRDefault="00181DFD" w:rsidP="00181DFD">
            <w:pPr>
              <w:pStyle w:val="Web"/>
              <w:numPr>
                <w:ilvl w:val="0"/>
                <w:numId w:val="1"/>
              </w:numPr>
              <w:spacing w:before="0" w:beforeAutospacing="0" w:after="0" w:afterAutospacing="0" w:line="400" w:lineRule="exact"/>
              <w:rPr>
                <w:rFonts w:ascii="Times New Roman" w:eastAsia="標楷體" w:hAnsi="標楷體" w:cs="Times New Roman"/>
                <w:b/>
                <w:bCs/>
                <w:u w:val="single"/>
              </w:rPr>
            </w:pPr>
            <w:r w:rsidRPr="00181DFD">
              <w:rPr>
                <w:rFonts w:ascii="Times New Roman" w:eastAsia="標楷體" w:hAnsi="標楷體" w:cs="Times New Roman" w:hint="eastAsia"/>
                <w:b/>
                <w:bCs/>
                <w:u w:val="single"/>
              </w:rPr>
              <w:t>食品藥物管理署說明：</w:t>
            </w:r>
          </w:p>
          <w:p w:rsidR="007267D8" w:rsidRPr="007267D8" w:rsidRDefault="007267D8" w:rsidP="000A047F">
            <w:pPr>
              <w:pStyle w:val="Web"/>
              <w:spacing w:line="400" w:lineRule="exact"/>
              <w:ind w:left="870"/>
              <w:rPr>
                <w:rFonts w:ascii="Times New Roman" w:eastAsia="標楷體" w:hAnsi="標楷體" w:cs="Times New Roman"/>
                <w:bCs/>
              </w:rPr>
            </w:pPr>
            <w:r w:rsidRPr="000A047F">
              <w:rPr>
                <w:rFonts w:ascii="Times New Roman" w:eastAsia="標楷體" w:hAnsi="Times New Roman" w:cs="Times New Roman" w:hint="eastAsia"/>
              </w:rPr>
              <w:t>本署將詳審是否</w:t>
            </w:r>
            <w:r w:rsidR="00132D89" w:rsidRPr="000A047F">
              <w:rPr>
                <w:rFonts w:ascii="Times New Roman" w:eastAsia="標楷體" w:hAnsi="Times New Roman" w:cs="Times New Roman" w:hint="eastAsia"/>
              </w:rPr>
              <w:t>將比照</w:t>
            </w:r>
            <w:r w:rsidR="00132D89" w:rsidRPr="000A047F">
              <w:rPr>
                <w:rFonts w:ascii="Times New Roman" w:eastAsia="標楷體" w:hAnsi="Times New Roman" w:cs="Times New Roman" w:hint="eastAsia"/>
              </w:rPr>
              <w:t>EMA</w:t>
            </w:r>
            <w:r w:rsidRPr="000A047F">
              <w:rPr>
                <w:rFonts w:ascii="Times New Roman" w:eastAsia="標楷體" w:hAnsi="Times New Roman" w:cs="Times New Roman" w:hint="eastAsia"/>
              </w:rPr>
              <w:t>修訂我國中文仿單內容。</w:t>
            </w:r>
          </w:p>
          <w:p w:rsidR="00181DFD" w:rsidRPr="00D161FE" w:rsidRDefault="00181DFD" w:rsidP="00795627">
            <w:pPr>
              <w:pStyle w:val="Web"/>
              <w:numPr>
                <w:ilvl w:val="0"/>
                <w:numId w:val="1"/>
              </w:numPr>
              <w:spacing w:before="0" w:beforeAutospacing="0" w:after="0" w:afterAutospacing="0" w:line="400" w:lineRule="exact"/>
              <w:rPr>
                <w:rFonts w:ascii="Times New Roman" w:eastAsia="標楷體" w:hAnsi="Times New Roman" w:cs="Times New Roman"/>
                <w:b/>
              </w:rPr>
            </w:pPr>
            <w:r w:rsidRPr="00D161FE">
              <w:rPr>
                <w:rFonts w:ascii="Times New Roman" w:eastAsia="標楷體" w:hAnsi="標楷體" w:cs="Times New Roman" w:hint="eastAsia"/>
                <w:b/>
                <w:bCs/>
                <w:u w:val="single"/>
              </w:rPr>
              <w:t>醫療人員</w:t>
            </w:r>
            <w:r w:rsidRPr="00D161FE">
              <w:rPr>
                <w:rFonts w:ascii="Times New Roman" w:eastAsia="標楷體" w:hAnsi="標楷體" w:cs="Times New Roman" w:hint="eastAsia"/>
                <w:b/>
              </w:rPr>
              <w:t>應注意事項：</w:t>
            </w:r>
          </w:p>
          <w:p w:rsidR="00181DFD" w:rsidRDefault="00181DFD" w:rsidP="00793034">
            <w:pPr>
              <w:pStyle w:val="Web"/>
              <w:numPr>
                <w:ilvl w:val="0"/>
                <w:numId w:val="3"/>
              </w:numPr>
              <w:spacing w:before="0" w:beforeAutospacing="0" w:after="0" w:afterAutospacing="0" w:line="400" w:lineRule="exact"/>
              <w:jc w:val="both"/>
              <w:rPr>
                <w:rFonts w:ascii="Times New Roman" w:eastAsia="標楷體" w:hAnsi="Times New Roman" w:cs="Times New Roman"/>
              </w:rPr>
            </w:pPr>
            <w:r>
              <w:rPr>
                <w:rFonts w:ascii="Times New Roman" w:eastAsia="標楷體" w:hAnsi="Times New Roman" w:cs="Times New Roman" w:hint="eastAsia"/>
              </w:rPr>
              <w:t>避免處方</w:t>
            </w:r>
            <w:r w:rsidRPr="00E076D9">
              <w:rPr>
                <w:rFonts w:ascii="Times New Roman" w:eastAsia="標楷體" w:hAnsi="標楷體" w:cs="Times New Roman"/>
                <w:shd w:val="clear" w:color="auto" w:fill="FFFFFF"/>
              </w:rPr>
              <w:t>高劑量</w:t>
            </w:r>
            <w:r w:rsidRPr="00E076D9">
              <w:rPr>
                <w:rFonts w:ascii="Times New Roman" w:eastAsia="標楷體" w:hAnsi="Times New Roman" w:cs="Times New Roman"/>
              </w:rPr>
              <w:t>ibuprofen</w:t>
            </w:r>
            <w:r w:rsidRPr="00E076D9">
              <w:rPr>
                <w:rFonts w:ascii="Times New Roman" w:eastAsia="標楷體" w:hAnsi="標楷體"/>
              </w:rPr>
              <w:t>（每日劑量</w:t>
            </w:r>
            <w:r w:rsidRPr="00E076D9">
              <w:rPr>
                <w:rFonts w:ascii="標楷體" w:eastAsia="標楷體" w:hAnsi="標楷體"/>
              </w:rPr>
              <w:t>≧</w:t>
            </w:r>
            <w:r w:rsidRPr="00E076D9">
              <w:rPr>
                <w:rFonts w:ascii="Times New Roman" w:eastAsia="標楷體" w:hAnsi="Times New Roman"/>
              </w:rPr>
              <w:t>2400mg</w:t>
            </w:r>
            <w:r w:rsidRPr="00E076D9">
              <w:rPr>
                <w:rFonts w:ascii="Times New Roman" w:eastAsia="標楷體" w:hAnsi="標楷體"/>
              </w:rPr>
              <w:t>）</w:t>
            </w:r>
            <w:r>
              <w:rPr>
                <w:rFonts w:ascii="Times New Roman" w:eastAsia="標楷體" w:hAnsi="Times New Roman" w:cs="Times New Roman" w:hint="eastAsia"/>
              </w:rPr>
              <w:t>予患有心血管疾病者：如未控制的高血壓、鬱血性心衰竭（</w:t>
            </w:r>
            <w:r w:rsidRPr="00DE2A4D">
              <w:rPr>
                <w:rFonts w:ascii="Times New Roman" w:eastAsia="標楷體" w:hAnsi="Times New Roman" w:cs="Times New Roman"/>
              </w:rPr>
              <w:t>NYHA class II-III</w:t>
            </w:r>
            <w:r>
              <w:rPr>
                <w:rFonts w:ascii="Times New Roman" w:eastAsia="標楷體" w:hAnsi="Times New Roman" w:cs="Times New Roman" w:hint="eastAsia"/>
              </w:rPr>
              <w:t>）、已知患有缺血性心臟疾病、周邊動脈疾病與腦血管疾病者。</w:t>
            </w:r>
          </w:p>
          <w:p w:rsidR="00181DFD" w:rsidRPr="00A74043" w:rsidRDefault="00181DFD" w:rsidP="00A74043">
            <w:pPr>
              <w:pStyle w:val="Web"/>
              <w:numPr>
                <w:ilvl w:val="0"/>
                <w:numId w:val="3"/>
              </w:numPr>
              <w:spacing w:before="0" w:beforeAutospacing="0" w:after="0" w:afterAutospacing="0" w:line="400" w:lineRule="exact"/>
              <w:jc w:val="both"/>
              <w:rPr>
                <w:rFonts w:ascii="Times New Roman" w:eastAsia="標楷體" w:hAnsi="Times New Roman" w:cs="Times New Roman"/>
              </w:rPr>
            </w:pPr>
            <w:r>
              <w:rPr>
                <w:rFonts w:ascii="Times New Roman" w:eastAsia="標楷體" w:hAnsi="標楷體" w:cs="Times New Roman" w:hint="eastAsia"/>
              </w:rPr>
              <w:t>長期處方</w:t>
            </w:r>
            <w:r w:rsidRPr="00E076D9">
              <w:rPr>
                <w:rFonts w:ascii="Times New Roman" w:eastAsia="標楷體" w:hAnsi="Times New Roman" w:cs="Times New Roman"/>
              </w:rPr>
              <w:t>ibuprofen</w:t>
            </w:r>
            <w:r>
              <w:rPr>
                <w:rFonts w:ascii="Times New Roman" w:eastAsia="標楷體" w:hAnsi="Times New Roman" w:cs="Times New Roman" w:hint="eastAsia"/>
              </w:rPr>
              <w:t>前（</w:t>
            </w:r>
            <w:r>
              <w:rPr>
                <w:rFonts w:ascii="Times New Roman" w:eastAsia="標楷體" w:hAnsi="Times New Roman" w:hint="eastAsia"/>
              </w:rPr>
              <w:t>特別是需要使用高劑量者</w:t>
            </w:r>
            <w:r>
              <w:rPr>
                <w:rFonts w:ascii="Times New Roman" w:eastAsia="標楷體" w:hAnsi="Times New Roman" w:cs="Times New Roman" w:hint="eastAsia"/>
              </w:rPr>
              <w:t>），</w:t>
            </w:r>
            <w:r>
              <w:rPr>
                <w:rFonts w:ascii="Times New Roman" w:eastAsia="標楷體" w:hAnsi="標楷體" w:cs="Times New Roman" w:hint="eastAsia"/>
              </w:rPr>
              <w:t>應謹慎評估病人</w:t>
            </w:r>
            <w:r>
              <w:rPr>
                <w:rFonts w:ascii="Times New Roman" w:eastAsia="標楷體" w:hAnsi="Times New Roman" w:hint="eastAsia"/>
              </w:rPr>
              <w:t>心臟或循環系統疾病之風險因子，包括吸菸、高血壓、糖尿病及高血脂，而具有前述風險因子者，僅能於審慎評估後才能使用</w:t>
            </w:r>
            <w:r w:rsidRPr="00E076D9">
              <w:rPr>
                <w:rFonts w:ascii="Times New Roman" w:eastAsia="標楷體" w:hAnsi="標楷體" w:cs="Times New Roman"/>
                <w:shd w:val="clear" w:color="auto" w:fill="FFFFFF"/>
              </w:rPr>
              <w:t>高劑量</w:t>
            </w:r>
            <w:r>
              <w:rPr>
                <w:rFonts w:ascii="Times New Roman" w:eastAsia="標楷體" w:hAnsi="標楷體" w:cs="Times New Roman" w:hint="eastAsia"/>
                <w:shd w:val="clear" w:color="auto" w:fill="FFFFFF"/>
              </w:rPr>
              <w:t>之</w:t>
            </w:r>
            <w:r w:rsidRPr="00E076D9">
              <w:rPr>
                <w:rFonts w:ascii="Times New Roman" w:eastAsia="標楷體" w:hAnsi="Times New Roman" w:cs="Times New Roman"/>
              </w:rPr>
              <w:t>ibuprofen</w:t>
            </w:r>
            <w:r>
              <w:rPr>
                <w:rFonts w:ascii="Times New Roman" w:eastAsia="標楷體" w:hAnsi="Times New Roman" w:cs="Times New Roman" w:hint="eastAsia"/>
              </w:rPr>
              <w:t>。</w:t>
            </w:r>
          </w:p>
          <w:p w:rsidR="00181DFD" w:rsidRPr="00793034" w:rsidRDefault="00181DFD" w:rsidP="00793034">
            <w:pPr>
              <w:pStyle w:val="Web"/>
              <w:numPr>
                <w:ilvl w:val="0"/>
                <w:numId w:val="3"/>
              </w:numPr>
              <w:spacing w:before="0" w:beforeAutospacing="0" w:after="0" w:afterAutospacing="0" w:line="400" w:lineRule="exact"/>
              <w:jc w:val="both"/>
              <w:rPr>
                <w:rFonts w:ascii="Times New Roman" w:eastAsia="標楷體" w:hAnsi="Times New Roman" w:cs="Times New Roman"/>
              </w:rPr>
            </w:pPr>
            <w:r>
              <w:rPr>
                <w:rFonts w:ascii="Times New Roman" w:eastAsia="標楷體" w:hAnsi="Times New Roman" w:cs="Times New Roman" w:hint="eastAsia"/>
              </w:rPr>
              <w:t>實驗數據顯示長時間使用</w:t>
            </w:r>
            <w:r w:rsidRPr="00E076D9">
              <w:rPr>
                <w:rFonts w:ascii="Times New Roman" w:eastAsia="標楷體" w:hAnsi="Times New Roman" w:cs="Times New Roman"/>
              </w:rPr>
              <w:t>ibuprofen</w:t>
            </w:r>
            <w:r>
              <w:rPr>
                <w:rFonts w:ascii="Times New Roman" w:eastAsia="標楷體" w:hAnsi="Times New Roman" w:cs="Times New Roman" w:hint="eastAsia"/>
              </w:rPr>
              <w:t>可能會降低低劑量</w:t>
            </w:r>
            <w:r w:rsidRPr="008D7C6C">
              <w:rPr>
                <w:rFonts w:ascii="Times New Roman" w:eastAsia="標楷體" w:hAnsi="Times New Roman" w:cs="Times New Roman"/>
              </w:rPr>
              <w:t>aspirin</w:t>
            </w:r>
            <w:r w:rsidRPr="008D7C6C">
              <w:rPr>
                <w:rFonts w:ascii="Times New Roman" w:eastAsia="標楷體" w:hAnsi="標楷體" w:cs="Times New Roman"/>
              </w:rPr>
              <w:t>的</w:t>
            </w:r>
            <w:r>
              <w:rPr>
                <w:rFonts w:ascii="Times New Roman" w:eastAsia="標楷體" w:hAnsi="標楷體" w:hint="eastAsia"/>
              </w:rPr>
              <w:t>心臟保護作用，因為當兩者併用時，</w:t>
            </w:r>
            <w:r w:rsidRPr="00E076D9">
              <w:rPr>
                <w:rFonts w:ascii="Times New Roman" w:eastAsia="標楷體" w:hAnsi="Times New Roman" w:cs="Times New Roman"/>
              </w:rPr>
              <w:t>ibuprofen</w:t>
            </w:r>
            <w:r>
              <w:rPr>
                <w:rFonts w:ascii="Times New Roman" w:eastAsia="標楷體" w:hAnsi="Times New Roman" w:cs="Times New Roman" w:hint="eastAsia"/>
              </w:rPr>
              <w:t>會競爭性抑制低劑量</w:t>
            </w:r>
            <w:r w:rsidRPr="008D7C6C">
              <w:rPr>
                <w:rFonts w:ascii="Times New Roman" w:eastAsia="標楷體" w:hAnsi="Times New Roman" w:cs="Times New Roman"/>
              </w:rPr>
              <w:t>aspirin</w:t>
            </w:r>
            <w:r>
              <w:rPr>
                <w:rFonts w:ascii="Times New Roman" w:eastAsia="標楷體" w:hAnsi="Times New Roman" w:cs="Times New Roman" w:hint="eastAsia"/>
              </w:rPr>
              <w:t>對血小板凝集的作用，但目前不認為</w:t>
            </w:r>
            <w:r w:rsidRPr="008D7C6C">
              <w:rPr>
                <w:rFonts w:ascii="Times New Roman" w:eastAsia="標楷體" w:hAnsi="標楷體" w:cs="Times New Roman"/>
              </w:rPr>
              <w:t>偶爾使用</w:t>
            </w:r>
            <w:r w:rsidRPr="008D7C6C">
              <w:rPr>
                <w:rFonts w:ascii="Times New Roman" w:eastAsia="標楷體" w:hAnsi="Times New Roman" w:cs="Times New Roman"/>
              </w:rPr>
              <w:t>ibuprofen</w:t>
            </w:r>
            <w:r>
              <w:rPr>
                <w:rFonts w:ascii="Times New Roman" w:eastAsia="標楷體" w:hAnsi="Times New Roman" w:cs="Times New Roman" w:hint="eastAsia"/>
              </w:rPr>
              <w:t>在臨床上</w:t>
            </w:r>
            <w:r>
              <w:rPr>
                <w:rFonts w:ascii="Times New Roman" w:eastAsia="標楷體" w:hAnsi="標楷體" w:cs="Times New Roman" w:hint="eastAsia"/>
              </w:rPr>
              <w:t>會對</w:t>
            </w:r>
            <w:r>
              <w:rPr>
                <w:rFonts w:ascii="Times New Roman" w:eastAsia="標楷體" w:hAnsi="Times New Roman" w:cs="Times New Roman" w:hint="eastAsia"/>
              </w:rPr>
              <w:t>低劑量</w:t>
            </w:r>
            <w:r w:rsidRPr="008D7C6C">
              <w:rPr>
                <w:rFonts w:ascii="Times New Roman" w:eastAsia="標楷體" w:hAnsi="Times New Roman" w:cs="Times New Roman"/>
              </w:rPr>
              <w:t>aspirin</w:t>
            </w:r>
            <w:r>
              <w:rPr>
                <w:rFonts w:ascii="Times New Roman" w:eastAsia="標楷體" w:hAnsi="標楷體" w:cs="Times New Roman" w:hint="eastAsia"/>
              </w:rPr>
              <w:t>造成相似的影響。</w:t>
            </w:r>
          </w:p>
          <w:p w:rsidR="00181DFD" w:rsidRPr="00302511" w:rsidRDefault="00181DFD" w:rsidP="00913E22">
            <w:pPr>
              <w:pStyle w:val="Web"/>
              <w:numPr>
                <w:ilvl w:val="0"/>
                <w:numId w:val="1"/>
              </w:numPr>
              <w:spacing w:before="0" w:beforeAutospacing="0" w:after="0" w:afterAutospacing="0" w:line="400" w:lineRule="exact"/>
              <w:rPr>
                <w:rFonts w:ascii="Times New Roman" w:eastAsia="標楷體" w:hAnsi="Times New Roman" w:cs="Times New Roman"/>
              </w:rPr>
            </w:pPr>
            <w:r w:rsidRPr="00302511">
              <w:rPr>
                <w:rFonts w:ascii="Times New Roman" w:eastAsia="標楷體" w:hAnsi="Times New Roman" w:cs="Times New Roman"/>
                <w:b/>
                <w:bCs/>
                <w:u w:val="single"/>
              </w:rPr>
              <w:t>病人</w:t>
            </w:r>
            <w:r w:rsidRPr="00302511">
              <w:rPr>
                <w:rFonts w:ascii="Times New Roman" w:eastAsia="標楷體" w:hAnsi="Times New Roman" w:cs="Times New Roman"/>
                <w:b/>
              </w:rPr>
              <w:t>應注意事項</w:t>
            </w:r>
            <w:r w:rsidRPr="00302511">
              <w:rPr>
                <w:rFonts w:ascii="Times New Roman" w:eastAsia="標楷體" w:hAnsi="Times New Roman" w:cs="Times New Roman"/>
              </w:rPr>
              <w:t>：</w:t>
            </w:r>
          </w:p>
          <w:p w:rsidR="00181DFD" w:rsidRPr="009C721F" w:rsidRDefault="00181DFD" w:rsidP="006B3C0C">
            <w:pPr>
              <w:pStyle w:val="Web"/>
              <w:numPr>
                <w:ilvl w:val="0"/>
                <w:numId w:val="4"/>
              </w:numPr>
              <w:spacing w:before="0" w:beforeAutospacing="0" w:after="0" w:afterAutospacing="0" w:line="400" w:lineRule="exact"/>
              <w:rPr>
                <w:rFonts w:ascii="Times New Roman" w:eastAsia="標楷體" w:hAnsi="Times New Roman" w:cs="Times New Roman"/>
              </w:rPr>
            </w:pPr>
            <w:r w:rsidRPr="009C721F">
              <w:rPr>
                <w:rFonts w:ascii="Times New Roman" w:eastAsia="標楷體" w:hAnsi="標楷體" w:cs="Times New Roman"/>
              </w:rPr>
              <w:t>若您</w:t>
            </w:r>
            <w:r>
              <w:rPr>
                <w:rFonts w:ascii="Times New Roman" w:eastAsia="標楷體" w:hAnsi="標楷體" w:cs="Times New Roman"/>
              </w:rPr>
              <w:t>患有心臟或循環系統疾病（如心臟衰竭、心臟疾病、循環系統疾病或曾心臟病發作或中風），</w:t>
            </w:r>
            <w:r w:rsidRPr="009C721F">
              <w:rPr>
                <w:rFonts w:ascii="Times New Roman" w:eastAsia="標楷體" w:hAnsi="標楷體" w:cs="Times New Roman"/>
              </w:rPr>
              <w:t>不建議使用高劑量之</w:t>
            </w:r>
            <w:r w:rsidRPr="009C721F">
              <w:rPr>
                <w:rFonts w:ascii="Times New Roman" w:eastAsia="標楷體" w:hAnsi="Times New Roman" w:cs="Times New Roman"/>
              </w:rPr>
              <w:t>ibuprofen</w:t>
            </w:r>
            <w:r w:rsidRPr="00E076D9">
              <w:rPr>
                <w:rFonts w:ascii="Times New Roman" w:eastAsia="標楷體" w:hAnsi="標楷體"/>
              </w:rPr>
              <w:t>（每日劑量</w:t>
            </w:r>
            <w:r w:rsidRPr="00E076D9">
              <w:rPr>
                <w:rFonts w:ascii="標楷體" w:eastAsia="標楷體" w:hAnsi="標楷體"/>
              </w:rPr>
              <w:t>≧</w:t>
            </w:r>
            <w:r w:rsidRPr="00E076D9">
              <w:rPr>
                <w:rFonts w:ascii="Times New Roman" w:eastAsia="標楷體" w:hAnsi="Times New Roman"/>
              </w:rPr>
              <w:t>2400mg</w:t>
            </w:r>
            <w:r w:rsidRPr="00E076D9">
              <w:rPr>
                <w:rFonts w:ascii="Times New Roman" w:eastAsia="標楷體" w:hAnsi="標楷體"/>
              </w:rPr>
              <w:t>）</w:t>
            </w:r>
            <w:r w:rsidRPr="009C721F">
              <w:rPr>
                <w:rFonts w:ascii="Times New Roman" w:eastAsia="標楷體" w:hAnsi="標楷體" w:cs="Times New Roman"/>
              </w:rPr>
              <w:t>。</w:t>
            </w:r>
          </w:p>
          <w:p w:rsidR="00181DFD" w:rsidRPr="009C721F" w:rsidRDefault="00181DFD" w:rsidP="006B3C0C">
            <w:pPr>
              <w:pStyle w:val="Web"/>
              <w:numPr>
                <w:ilvl w:val="0"/>
                <w:numId w:val="4"/>
              </w:numPr>
              <w:spacing w:before="0" w:beforeAutospacing="0" w:after="0" w:afterAutospacing="0" w:line="400" w:lineRule="exact"/>
              <w:rPr>
                <w:rFonts w:ascii="Times New Roman" w:eastAsia="標楷體" w:hAnsi="Times New Roman" w:cs="Times New Roman"/>
              </w:rPr>
            </w:pPr>
            <w:r w:rsidRPr="009C721F">
              <w:rPr>
                <w:rFonts w:ascii="Times New Roman" w:eastAsia="標楷體" w:hAnsi="標楷體" w:cs="Times New Roman"/>
              </w:rPr>
              <w:t>長時間使用</w:t>
            </w:r>
            <w:r w:rsidRPr="009C721F">
              <w:rPr>
                <w:rFonts w:ascii="Times New Roman" w:eastAsia="標楷體" w:hAnsi="Times New Roman" w:cs="Times New Roman"/>
              </w:rPr>
              <w:t>ibuprofen</w:t>
            </w:r>
            <w:r w:rsidRPr="009C721F">
              <w:rPr>
                <w:rFonts w:ascii="Times New Roman" w:eastAsia="標楷體" w:hAnsi="標楷體" w:cs="Times New Roman"/>
              </w:rPr>
              <w:t>可能減低低劑量</w:t>
            </w:r>
            <w:r w:rsidRPr="009C721F">
              <w:rPr>
                <w:rFonts w:ascii="Times New Roman" w:eastAsia="標楷體" w:hAnsi="Times New Roman" w:cs="Times New Roman"/>
              </w:rPr>
              <w:t>aspirin</w:t>
            </w:r>
            <w:r w:rsidRPr="009C721F">
              <w:rPr>
                <w:rFonts w:ascii="Times New Roman" w:eastAsia="標楷體" w:hAnsi="標楷體" w:cs="Times New Roman"/>
              </w:rPr>
              <w:t>預防心臟病發作或中風的療效，建議於併用</w:t>
            </w:r>
            <w:r w:rsidRPr="009C721F">
              <w:rPr>
                <w:rFonts w:ascii="Times New Roman" w:eastAsia="標楷體" w:hAnsi="Times New Roman" w:cs="Times New Roman"/>
              </w:rPr>
              <w:t>ibuprofen</w:t>
            </w:r>
            <w:r w:rsidRPr="009C721F">
              <w:rPr>
                <w:rFonts w:ascii="Times New Roman" w:eastAsia="標楷體" w:hAnsi="標楷體" w:cs="Times New Roman"/>
              </w:rPr>
              <w:t>及</w:t>
            </w:r>
            <w:r w:rsidRPr="009C721F">
              <w:rPr>
                <w:rFonts w:ascii="Times New Roman" w:eastAsia="標楷體" w:hAnsi="Times New Roman" w:cs="Times New Roman"/>
              </w:rPr>
              <w:t>aspirin</w:t>
            </w:r>
            <w:r w:rsidRPr="009C721F">
              <w:rPr>
                <w:rFonts w:ascii="Times New Roman" w:eastAsia="標楷體" w:hAnsi="標楷體" w:cs="Times New Roman"/>
              </w:rPr>
              <w:t>前，徵詢醫師或藥師的意見。</w:t>
            </w:r>
          </w:p>
          <w:p w:rsidR="00181DFD" w:rsidRDefault="00181DFD" w:rsidP="00C646BC">
            <w:pPr>
              <w:pStyle w:val="Default"/>
              <w:spacing w:line="400" w:lineRule="exact"/>
              <w:ind w:left="350" w:hangingChars="146" w:hanging="350"/>
              <w:jc w:val="both"/>
              <w:rPr>
                <w:rFonts w:ascii="Times New Roman" w:eastAsia="標楷體"/>
              </w:rPr>
            </w:pPr>
            <w:r w:rsidRPr="000D5701">
              <w:rPr>
                <w:rFonts w:ascii="標楷體" w:eastAsia="標楷體" w:hAnsi="標楷體" w:cs="Times New Roman" w:hint="eastAsia"/>
                <w:color w:val="auto"/>
              </w:rPr>
              <w:t>◎</w:t>
            </w:r>
            <w:r w:rsidRPr="000D5701">
              <w:rPr>
                <w:rFonts w:ascii="Times New Roman" w:eastAsia="標楷體" w:cs="Times New Roman"/>
                <w:color w:val="auto"/>
              </w:rPr>
              <w:t xml:space="preserve"> </w:t>
            </w:r>
            <w:r w:rsidRPr="000D5701">
              <w:rPr>
                <w:rFonts w:ascii="Times New Roman" w:eastAsia="標楷體" w:hAnsi="標楷體" w:cs="Times New Roman" w:hint="eastAsia"/>
                <w:color w:val="auto"/>
              </w:rPr>
              <w:t>醫療人員或病人懷疑因為使用（服用）藥品導致不良反應發生時，請立即通報給衛生福利部所建置之全國藥物不良反應通報中心並副知所屬廠商，藥物不良反應通報專線</w:t>
            </w:r>
            <w:r w:rsidRPr="000D5701">
              <w:rPr>
                <w:rFonts w:ascii="Times New Roman" w:eastAsia="標楷體" w:cs="Times New Roman"/>
                <w:color w:val="auto"/>
              </w:rPr>
              <w:t>02-2396-0100</w:t>
            </w:r>
            <w:r w:rsidRPr="000D5701">
              <w:rPr>
                <w:rFonts w:ascii="Times New Roman" w:eastAsia="標楷體" w:hAnsi="標楷體" w:cs="Times New Roman" w:hint="eastAsia"/>
                <w:color w:val="auto"/>
              </w:rPr>
              <w:t>，網站：</w:t>
            </w:r>
            <w:hyperlink r:id="rId9" w:history="1">
              <w:r w:rsidRPr="000D5701">
                <w:rPr>
                  <w:rStyle w:val="ab"/>
                  <w:rFonts w:ascii="Times New Roman" w:eastAsia="標楷體"/>
                  <w:color w:val="auto"/>
                </w:rPr>
                <w:t>http</w:t>
              </w:r>
              <w:r w:rsidRPr="000D5701">
                <w:rPr>
                  <w:rStyle w:val="ab"/>
                  <w:rFonts w:ascii="Times New Roman" w:eastAsia="標楷體" w:hint="eastAsia"/>
                  <w:color w:val="auto"/>
                </w:rPr>
                <w:t>s</w:t>
              </w:r>
              <w:r w:rsidRPr="000D5701">
                <w:rPr>
                  <w:rStyle w:val="ab"/>
                  <w:rFonts w:ascii="Times New Roman" w:eastAsia="標楷體"/>
                  <w:color w:val="auto"/>
                </w:rPr>
                <w:t>://adr.fda.gov.tw</w:t>
              </w:r>
            </w:hyperlink>
            <w:r w:rsidRPr="000D5701">
              <w:rPr>
                <w:rFonts w:ascii="Times New Roman" w:eastAsia="標楷體" w:hAnsi="標楷體" w:cs="Times New Roman" w:hint="eastAsia"/>
                <w:color w:val="auto"/>
              </w:rPr>
              <w:t>；衛生福利部食品藥物管理署獲知藥品安全訊息時，均會蒐集彙整相關資料進行評估，並對於新增之藥品風險採取對應之風險管控措施。</w:t>
            </w:r>
          </w:p>
        </w:tc>
      </w:tr>
    </w:tbl>
    <w:p w:rsidR="00211E09" w:rsidRPr="003B56BC" w:rsidRDefault="00211E09"/>
    <w:sectPr w:rsidR="00211E09" w:rsidRPr="003B56BC" w:rsidSect="006448FD">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114E" w:rsidRDefault="00D1114E" w:rsidP="003B56BC">
      <w:r>
        <w:separator/>
      </w:r>
    </w:p>
  </w:endnote>
  <w:endnote w:type="continuationSeparator" w:id="1">
    <w:p w:rsidR="00D1114E" w:rsidRDefault="00D1114E" w:rsidP="003B56BC">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114E" w:rsidRDefault="00D1114E" w:rsidP="003B56BC">
      <w:r>
        <w:separator/>
      </w:r>
    </w:p>
  </w:footnote>
  <w:footnote w:type="continuationSeparator" w:id="1">
    <w:p w:rsidR="00D1114E" w:rsidRDefault="00D1114E" w:rsidP="003B56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75665"/>
    <w:multiLevelType w:val="hybridMultilevel"/>
    <w:tmpl w:val="F1701190"/>
    <w:lvl w:ilvl="0" w:tplc="7A962CDA">
      <w:start w:val="99"/>
      <w:numFmt w:val="bullet"/>
      <w:lvlText w:val="◎"/>
      <w:lvlJc w:val="left"/>
      <w:pPr>
        <w:tabs>
          <w:tab w:val="num" w:pos="346"/>
        </w:tabs>
        <w:ind w:left="346" w:hanging="360"/>
      </w:pPr>
      <w:rPr>
        <w:rFonts w:ascii="標楷體" w:eastAsia="標楷體" w:hAnsi="標楷體" w:hint="eastAsia"/>
      </w:rPr>
    </w:lvl>
    <w:lvl w:ilvl="1" w:tplc="92D8E60C">
      <w:start w:val="1"/>
      <w:numFmt w:val="decimal"/>
      <w:lvlText w:val="%2."/>
      <w:lvlJc w:val="left"/>
      <w:pPr>
        <w:tabs>
          <w:tab w:val="num" w:pos="1440"/>
        </w:tabs>
        <w:ind w:left="1440" w:hanging="360"/>
      </w:pPr>
      <w:rPr>
        <w:rFonts w:cs="Times New Roman"/>
      </w:rPr>
    </w:lvl>
    <w:lvl w:ilvl="2" w:tplc="95ECE38E">
      <w:start w:val="1"/>
      <w:numFmt w:val="lowerLetter"/>
      <w:lvlText w:val="%3."/>
      <w:lvlJc w:val="left"/>
      <w:pPr>
        <w:tabs>
          <w:tab w:val="num" w:pos="2160"/>
        </w:tabs>
        <w:ind w:left="2160" w:hanging="360"/>
      </w:pPr>
      <w:rPr>
        <w:rFonts w:hint="eastAsia"/>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nsid w:val="15994B92"/>
    <w:multiLevelType w:val="hybridMultilevel"/>
    <w:tmpl w:val="59023EDA"/>
    <w:lvl w:ilvl="0" w:tplc="0409000F">
      <w:start w:val="1"/>
      <w:numFmt w:val="decimal"/>
      <w:lvlText w:val="%1."/>
      <w:lvlJc w:val="left"/>
      <w:pPr>
        <w:ind w:left="480" w:hanging="480"/>
      </w:pPr>
    </w:lvl>
    <w:lvl w:ilvl="1" w:tplc="6EE60962">
      <w:start w:val="1"/>
      <w:numFmt w:val="lowerRoman"/>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61D7BDC"/>
    <w:multiLevelType w:val="hybridMultilevel"/>
    <w:tmpl w:val="C020FC8A"/>
    <w:lvl w:ilvl="0" w:tplc="92D8E60C">
      <w:start w:val="1"/>
      <w:numFmt w:val="decimal"/>
      <w:lvlText w:val="%1."/>
      <w:lvlJc w:val="left"/>
      <w:pPr>
        <w:ind w:left="826" w:hanging="480"/>
      </w:pPr>
      <w:rPr>
        <w:rFonts w:cs="Times New Roman"/>
      </w:rPr>
    </w:lvl>
    <w:lvl w:ilvl="1" w:tplc="6EE60962">
      <w:start w:val="1"/>
      <w:numFmt w:val="lowerRoman"/>
      <w:lvlText w:val="%2."/>
      <w:lvlJc w:val="left"/>
      <w:pPr>
        <w:ind w:left="1306" w:hanging="480"/>
      </w:pPr>
      <w:rPr>
        <w:rFonts w:hint="eastAsia"/>
      </w:rPr>
    </w:lvl>
    <w:lvl w:ilvl="2" w:tplc="0409001B" w:tentative="1">
      <w:start w:val="1"/>
      <w:numFmt w:val="lowerRoman"/>
      <w:lvlText w:val="%3."/>
      <w:lvlJc w:val="right"/>
      <w:pPr>
        <w:ind w:left="1786" w:hanging="480"/>
      </w:pPr>
    </w:lvl>
    <w:lvl w:ilvl="3" w:tplc="0409000F" w:tentative="1">
      <w:start w:val="1"/>
      <w:numFmt w:val="decimal"/>
      <w:lvlText w:val="%4."/>
      <w:lvlJc w:val="left"/>
      <w:pPr>
        <w:ind w:left="2266" w:hanging="480"/>
      </w:pPr>
    </w:lvl>
    <w:lvl w:ilvl="4" w:tplc="04090019" w:tentative="1">
      <w:start w:val="1"/>
      <w:numFmt w:val="ideographTraditional"/>
      <w:lvlText w:val="%5、"/>
      <w:lvlJc w:val="left"/>
      <w:pPr>
        <w:ind w:left="2746" w:hanging="480"/>
      </w:pPr>
    </w:lvl>
    <w:lvl w:ilvl="5" w:tplc="0409001B" w:tentative="1">
      <w:start w:val="1"/>
      <w:numFmt w:val="lowerRoman"/>
      <w:lvlText w:val="%6."/>
      <w:lvlJc w:val="right"/>
      <w:pPr>
        <w:ind w:left="3226" w:hanging="480"/>
      </w:pPr>
    </w:lvl>
    <w:lvl w:ilvl="6" w:tplc="0409000F" w:tentative="1">
      <w:start w:val="1"/>
      <w:numFmt w:val="decimal"/>
      <w:lvlText w:val="%7."/>
      <w:lvlJc w:val="left"/>
      <w:pPr>
        <w:ind w:left="3706" w:hanging="480"/>
      </w:pPr>
    </w:lvl>
    <w:lvl w:ilvl="7" w:tplc="04090019" w:tentative="1">
      <w:start w:val="1"/>
      <w:numFmt w:val="ideographTraditional"/>
      <w:lvlText w:val="%8、"/>
      <w:lvlJc w:val="left"/>
      <w:pPr>
        <w:ind w:left="4186" w:hanging="480"/>
      </w:pPr>
    </w:lvl>
    <w:lvl w:ilvl="8" w:tplc="0409001B" w:tentative="1">
      <w:start w:val="1"/>
      <w:numFmt w:val="lowerRoman"/>
      <w:lvlText w:val="%9."/>
      <w:lvlJc w:val="right"/>
      <w:pPr>
        <w:ind w:left="4666" w:hanging="480"/>
      </w:pPr>
    </w:lvl>
  </w:abstractNum>
  <w:abstractNum w:abstractNumId="3">
    <w:nsid w:val="739B4BD5"/>
    <w:multiLevelType w:val="hybridMultilevel"/>
    <w:tmpl w:val="CF28C23A"/>
    <w:lvl w:ilvl="0" w:tplc="0409000F">
      <w:start w:val="1"/>
      <w:numFmt w:val="decimal"/>
      <w:lvlText w:val="%1."/>
      <w:lvlJc w:val="left"/>
      <w:pPr>
        <w:ind w:left="826" w:hanging="480"/>
      </w:pPr>
    </w:lvl>
    <w:lvl w:ilvl="1" w:tplc="04090019" w:tentative="1">
      <w:start w:val="1"/>
      <w:numFmt w:val="ideographTraditional"/>
      <w:lvlText w:val="%2、"/>
      <w:lvlJc w:val="left"/>
      <w:pPr>
        <w:ind w:left="1306" w:hanging="480"/>
      </w:pPr>
    </w:lvl>
    <w:lvl w:ilvl="2" w:tplc="0409001B" w:tentative="1">
      <w:start w:val="1"/>
      <w:numFmt w:val="lowerRoman"/>
      <w:lvlText w:val="%3."/>
      <w:lvlJc w:val="right"/>
      <w:pPr>
        <w:ind w:left="1786" w:hanging="480"/>
      </w:pPr>
    </w:lvl>
    <w:lvl w:ilvl="3" w:tplc="0409000F" w:tentative="1">
      <w:start w:val="1"/>
      <w:numFmt w:val="decimal"/>
      <w:lvlText w:val="%4."/>
      <w:lvlJc w:val="left"/>
      <w:pPr>
        <w:ind w:left="2266" w:hanging="480"/>
      </w:pPr>
    </w:lvl>
    <w:lvl w:ilvl="4" w:tplc="04090019" w:tentative="1">
      <w:start w:val="1"/>
      <w:numFmt w:val="ideographTraditional"/>
      <w:lvlText w:val="%5、"/>
      <w:lvlJc w:val="left"/>
      <w:pPr>
        <w:ind w:left="2746" w:hanging="480"/>
      </w:pPr>
    </w:lvl>
    <w:lvl w:ilvl="5" w:tplc="0409001B" w:tentative="1">
      <w:start w:val="1"/>
      <w:numFmt w:val="lowerRoman"/>
      <w:lvlText w:val="%6."/>
      <w:lvlJc w:val="right"/>
      <w:pPr>
        <w:ind w:left="3226" w:hanging="480"/>
      </w:pPr>
    </w:lvl>
    <w:lvl w:ilvl="6" w:tplc="0409000F" w:tentative="1">
      <w:start w:val="1"/>
      <w:numFmt w:val="decimal"/>
      <w:lvlText w:val="%7."/>
      <w:lvlJc w:val="left"/>
      <w:pPr>
        <w:ind w:left="3706" w:hanging="480"/>
      </w:pPr>
    </w:lvl>
    <w:lvl w:ilvl="7" w:tplc="04090019" w:tentative="1">
      <w:start w:val="1"/>
      <w:numFmt w:val="ideographTraditional"/>
      <w:lvlText w:val="%8、"/>
      <w:lvlJc w:val="left"/>
      <w:pPr>
        <w:ind w:left="4186" w:hanging="480"/>
      </w:pPr>
    </w:lvl>
    <w:lvl w:ilvl="8" w:tplc="0409001B" w:tentative="1">
      <w:start w:val="1"/>
      <w:numFmt w:val="lowerRoman"/>
      <w:lvlText w:val="%9."/>
      <w:lvlJc w:val="right"/>
      <w:pPr>
        <w:ind w:left="4666" w:hanging="480"/>
      </w:pPr>
    </w:lvl>
  </w:abstractNum>
  <w:num w:numId="1">
    <w:abstractNumId w:val="0"/>
  </w:num>
  <w:num w:numId="2">
    <w:abstractNumId w:val="1"/>
  </w:num>
  <w:num w:numId="3">
    <w:abstractNumId w:val="2"/>
  </w:num>
  <w:num w:numId="4">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80"/>
  <w:displayHorizontalDrawingGridEvery w:val="0"/>
  <w:displayVerticalDrawingGridEvery w:val="2"/>
  <w:characterSpacingControl w:val="compressPunctuation"/>
  <w:noLineBreaksAfter w:lang="zh-TW" w:val="([{£¥‘“‵〈《「『【〔〝︵︷︹︻︽︿﹁﹃﹙﹛﹝（｛"/>
  <w:noLineBreaksBefore w:lang="zh-TW" w:val="!),.:;?]}¢·–—’”•‥…‧′╴、。〉》」』】〕〞︰︱︳︴︶︸︺︼︾﹀﹂﹄﹏﹐﹑﹒﹔﹕﹖﹗﹚﹜﹞！），．：；？］｜｝､"/>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A7741"/>
    <w:rsid w:val="000007D6"/>
    <w:rsid w:val="0000533D"/>
    <w:rsid w:val="00007314"/>
    <w:rsid w:val="00011906"/>
    <w:rsid w:val="000125F7"/>
    <w:rsid w:val="00014990"/>
    <w:rsid w:val="00017171"/>
    <w:rsid w:val="00017AD6"/>
    <w:rsid w:val="00032A84"/>
    <w:rsid w:val="0003449A"/>
    <w:rsid w:val="0003455D"/>
    <w:rsid w:val="00035F42"/>
    <w:rsid w:val="000417A7"/>
    <w:rsid w:val="0004206A"/>
    <w:rsid w:val="00044A4C"/>
    <w:rsid w:val="0004625C"/>
    <w:rsid w:val="00051FB4"/>
    <w:rsid w:val="000531D7"/>
    <w:rsid w:val="00054322"/>
    <w:rsid w:val="00057BAD"/>
    <w:rsid w:val="0006115A"/>
    <w:rsid w:val="00063954"/>
    <w:rsid w:val="0006542C"/>
    <w:rsid w:val="00065D93"/>
    <w:rsid w:val="000705C6"/>
    <w:rsid w:val="000750FE"/>
    <w:rsid w:val="000841D6"/>
    <w:rsid w:val="00087192"/>
    <w:rsid w:val="00091695"/>
    <w:rsid w:val="000917BC"/>
    <w:rsid w:val="00091CFE"/>
    <w:rsid w:val="000926E5"/>
    <w:rsid w:val="00093776"/>
    <w:rsid w:val="0009412B"/>
    <w:rsid w:val="000944B2"/>
    <w:rsid w:val="00095F4A"/>
    <w:rsid w:val="00096F70"/>
    <w:rsid w:val="00097928"/>
    <w:rsid w:val="000A047F"/>
    <w:rsid w:val="000A3C3D"/>
    <w:rsid w:val="000A3E05"/>
    <w:rsid w:val="000A4C28"/>
    <w:rsid w:val="000B7771"/>
    <w:rsid w:val="000C168C"/>
    <w:rsid w:val="000C5E6B"/>
    <w:rsid w:val="000C705F"/>
    <w:rsid w:val="000C72AC"/>
    <w:rsid w:val="000D56FD"/>
    <w:rsid w:val="000D5701"/>
    <w:rsid w:val="000D5C02"/>
    <w:rsid w:val="000D6EA5"/>
    <w:rsid w:val="000D752C"/>
    <w:rsid w:val="000E26A1"/>
    <w:rsid w:val="000E6892"/>
    <w:rsid w:val="000E7A87"/>
    <w:rsid w:val="000F0895"/>
    <w:rsid w:val="000F2C36"/>
    <w:rsid w:val="000F381D"/>
    <w:rsid w:val="000F5BF9"/>
    <w:rsid w:val="001037C9"/>
    <w:rsid w:val="00104870"/>
    <w:rsid w:val="001049E0"/>
    <w:rsid w:val="00105264"/>
    <w:rsid w:val="00105937"/>
    <w:rsid w:val="00105D48"/>
    <w:rsid w:val="001105BA"/>
    <w:rsid w:val="001134EE"/>
    <w:rsid w:val="0011359D"/>
    <w:rsid w:val="001164B5"/>
    <w:rsid w:val="00117D49"/>
    <w:rsid w:val="0012132F"/>
    <w:rsid w:val="0013078F"/>
    <w:rsid w:val="00132D89"/>
    <w:rsid w:val="00132D97"/>
    <w:rsid w:val="00133461"/>
    <w:rsid w:val="001352B5"/>
    <w:rsid w:val="00136184"/>
    <w:rsid w:val="001365D2"/>
    <w:rsid w:val="00140034"/>
    <w:rsid w:val="001409C3"/>
    <w:rsid w:val="001428D7"/>
    <w:rsid w:val="001445BC"/>
    <w:rsid w:val="00145A9D"/>
    <w:rsid w:val="00150360"/>
    <w:rsid w:val="00151CE0"/>
    <w:rsid w:val="00153858"/>
    <w:rsid w:val="00154725"/>
    <w:rsid w:val="00157367"/>
    <w:rsid w:val="0015736A"/>
    <w:rsid w:val="001573A0"/>
    <w:rsid w:val="00161DFA"/>
    <w:rsid w:val="001621B1"/>
    <w:rsid w:val="00162D57"/>
    <w:rsid w:val="00165E7F"/>
    <w:rsid w:val="00167294"/>
    <w:rsid w:val="001712B3"/>
    <w:rsid w:val="00172779"/>
    <w:rsid w:val="00172C22"/>
    <w:rsid w:val="001735F9"/>
    <w:rsid w:val="00181DFD"/>
    <w:rsid w:val="001842A5"/>
    <w:rsid w:val="00186FAA"/>
    <w:rsid w:val="001935D1"/>
    <w:rsid w:val="001938C0"/>
    <w:rsid w:val="001979BC"/>
    <w:rsid w:val="001A3CD6"/>
    <w:rsid w:val="001A4D14"/>
    <w:rsid w:val="001A62F6"/>
    <w:rsid w:val="001B0AB6"/>
    <w:rsid w:val="001B19B5"/>
    <w:rsid w:val="001B2908"/>
    <w:rsid w:val="001B36F2"/>
    <w:rsid w:val="001B5163"/>
    <w:rsid w:val="001B630E"/>
    <w:rsid w:val="001C1356"/>
    <w:rsid w:val="001C360A"/>
    <w:rsid w:val="001C5A1B"/>
    <w:rsid w:val="001D43BC"/>
    <w:rsid w:val="001D5A9C"/>
    <w:rsid w:val="001D5D19"/>
    <w:rsid w:val="001D683C"/>
    <w:rsid w:val="001D684A"/>
    <w:rsid w:val="001D6C93"/>
    <w:rsid w:val="001D789A"/>
    <w:rsid w:val="001E1874"/>
    <w:rsid w:val="001E1F05"/>
    <w:rsid w:val="001E4113"/>
    <w:rsid w:val="001E4D43"/>
    <w:rsid w:val="001E6F73"/>
    <w:rsid w:val="001E6F88"/>
    <w:rsid w:val="001F2486"/>
    <w:rsid w:val="001F7035"/>
    <w:rsid w:val="001F7358"/>
    <w:rsid w:val="00200D95"/>
    <w:rsid w:val="00203113"/>
    <w:rsid w:val="00211E09"/>
    <w:rsid w:val="002122E7"/>
    <w:rsid w:val="0021575E"/>
    <w:rsid w:val="00215F9D"/>
    <w:rsid w:val="00217579"/>
    <w:rsid w:val="002212A6"/>
    <w:rsid w:val="00222020"/>
    <w:rsid w:val="00224B71"/>
    <w:rsid w:val="00224F29"/>
    <w:rsid w:val="00225A8B"/>
    <w:rsid w:val="00230DC3"/>
    <w:rsid w:val="00233457"/>
    <w:rsid w:val="00233E51"/>
    <w:rsid w:val="00235F72"/>
    <w:rsid w:val="00240B54"/>
    <w:rsid w:val="00241556"/>
    <w:rsid w:val="002420D6"/>
    <w:rsid w:val="00246966"/>
    <w:rsid w:val="002501BB"/>
    <w:rsid w:val="0025164B"/>
    <w:rsid w:val="00252DD4"/>
    <w:rsid w:val="00253916"/>
    <w:rsid w:val="002552ED"/>
    <w:rsid w:val="00257D6F"/>
    <w:rsid w:val="002647F8"/>
    <w:rsid w:val="00264F16"/>
    <w:rsid w:val="00265388"/>
    <w:rsid w:val="00265786"/>
    <w:rsid w:val="002670EB"/>
    <w:rsid w:val="0026735D"/>
    <w:rsid w:val="00267693"/>
    <w:rsid w:val="00270E2E"/>
    <w:rsid w:val="0027104D"/>
    <w:rsid w:val="0027252E"/>
    <w:rsid w:val="0027402D"/>
    <w:rsid w:val="0027776F"/>
    <w:rsid w:val="002806CF"/>
    <w:rsid w:val="0028110C"/>
    <w:rsid w:val="00284807"/>
    <w:rsid w:val="002853C3"/>
    <w:rsid w:val="00285934"/>
    <w:rsid w:val="002A0D15"/>
    <w:rsid w:val="002A2CDB"/>
    <w:rsid w:val="002A3A80"/>
    <w:rsid w:val="002A3E0E"/>
    <w:rsid w:val="002A4084"/>
    <w:rsid w:val="002B0394"/>
    <w:rsid w:val="002B3148"/>
    <w:rsid w:val="002C0F1D"/>
    <w:rsid w:val="002C5626"/>
    <w:rsid w:val="002C7C0E"/>
    <w:rsid w:val="002D28A6"/>
    <w:rsid w:val="002D3FC9"/>
    <w:rsid w:val="002D6EA2"/>
    <w:rsid w:val="002E4D70"/>
    <w:rsid w:val="002F036F"/>
    <w:rsid w:val="002F0B94"/>
    <w:rsid w:val="002F580F"/>
    <w:rsid w:val="00300F2A"/>
    <w:rsid w:val="0030181F"/>
    <w:rsid w:val="00302511"/>
    <w:rsid w:val="003025BF"/>
    <w:rsid w:val="00303922"/>
    <w:rsid w:val="00304931"/>
    <w:rsid w:val="00306E81"/>
    <w:rsid w:val="00313163"/>
    <w:rsid w:val="003209F3"/>
    <w:rsid w:val="003269B3"/>
    <w:rsid w:val="003329B3"/>
    <w:rsid w:val="00336369"/>
    <w:rsid w:val="00337644"/>
    <w:rsid w:val="0034212D"/>
    <w:rsid w:val="00344761"/>
    <w:rsid w:val="00344FEF"/>
    <w:rsid w:val="00346490"/>
    <w:rsid w:val="003577D0"/>
    <w:rsid w:val="00357EF8"/>
    <w:rsid w:val="00364D13"/>
    <w:rsid w:val="003708D0"/>
    <w:rsid w:val="00370EB4"/>
    <w:rsid w:val="003711B9"/>
    <w:rsid w:val="003734B3"/>
    <w:rsid w:val="00380E14"/>
    <w:rsid w:val="003816DB"/>
    <w:rsid w:val="00382B52"/>
    <w:rsid w:val="00382E7A"/>
    <w:rsid w:val="003850C5"/>
    <w:rsid w:val="00387C17"/>
    <w:rsid w:val="003903F4"/>
    <w:rsid w:val="00390772"/>
    <w:rsid w:val="00391418"/>
    <w:rsid w:val="00394DA5"/>
    <w:rsid w:val="003967A8"/>
    <w:rsid w:val="00397586"/>
    <w:rsid w:val="003A2A24"/>
    <w:rsid w:val="003A30BE"/>
    <w:rsid w:val="003A5B26"/>
    <w:rsid w:val="003A654F"/>
    <w:rsid w:val="003A66CF"/>
    <w:rsid w:val="003B09F6"/>
    <w:rsid w:val="003B36A0"/>
    <w:rsid w:val="003B53BF"/>
    <w:rsid w:val="003B56BC"/>
    <w:rsid w:val="003C06EB"/>
    <w:rsid w:val="003C0E64"/>
    <w:rsid w:val="003C54B8"/>
    <w:rsid w:val="003D5187"/>
    <w:rsid w:val="003D56ED"/>
    <w:rsid w:val="003D7C9A"/>
    <w:rsid w:val="003E054A"/>
    <w:rsid w:val="003E280C"/>
    <w:rsid w:val="003E2B3B"/>
    <w:rsid w:val="003E2E9A"/>
    <w:rsid w:val="003E3F6A"/>
    <w:rsid w:val="003E558F"/>
    <w:rsid w:val="003E648E"/>
    <w:rsid w:val="003F3F3C"/>
    <w:rsid w:val="003F5161"/>
    <w:rsid w:val="00400BCB"/>
    <w:rsid w:val="00401BF5"/>
    <w:rsid w:val="00407217"/>
    <w:rsid w:val="00410160"/>
    <w:rsid w:val="00412970"/>
    <w:rsid w:val="00416206"/>
    <w:rsid w:val="00417455"/>
    <w:rsid w:val="004205E1"/>
    <w:rsid w:val="00424364"/>
    <w:rsid w:val="00424A9E"/>
    <w:rsid w:val="0042553C"/>
    <w:rsid w:val="0043191F"/>
    <w:rsid w:val="00431A54"/>
    <w:rsid w:val="00431E8B"/>
    <w:rsid w:val="00433672"/>
    <w:rsid w:val="00435CFA"/>
    <w:rsid w:val="00437BEF"/>
    <w:rsid w:val="00442988"/>
    <w:rsid w:val="004430A7"/>
    <w:rsid w:val="00443436"/>
    <w:rsid w:val="004518A5"/>
    <w:rsid w:val="004524B0"/>
    <w:rsid w:val="004559E9"/>
    <w:rsid w:val="00463BC6"/>
    <w:rsid w:val="004669F4"/>
    <w:rsid w:val="00466ED1"/>
    <w:rsid w:val="00470B91"/>
    <w:rsid w:val="0047128D"/>
    <w:rsid w:val="0048216C"/>
    <w:rsid w:val="004855A8"/>
    <w:rsid w:val="0048634C"/>
    <w:rsid w:val="00491E85"/>
    <w:rsid w:val="0049296B"/>
    <w:rsid w:val="004936B1"/>
    <w:rsid w:val="00494350"/>
    <w:rsid w:val="004948DF"/>
    <w:rsid w:val="00494B0B"/>
    <w:rsid w:val="004956BA"/>
    <w:rsid w:val="00497C21"/>
    <w:rsid w:val="004A1947"/>
    <w:rsid w:val="004A2826"/>
    <w:rsid w:val="004A2E20"/>
    <w:rsid w:val="004A4059"/>
    <w:rsid w:val="004A6B50"/>
    <w:rsid w:val="004B16FC"/>
    <w:rsid w:val="004B1894"/>
    <w:rsid w:val="004B4590"/>
    <w:rsid w:val="004B470A"/>
    <w:rsid w:val="004B490F"/>
    <w:rsid w:val="004B5265"/>
    <w:rsid w:val="004B673A"/>
    <w:rsid w:val="004C036F"/>
    <w:rsid w:val="004C42B9"/>
    <w:rsid w:val="004C643C"/>
    <w:rsid w:val="004D02EB"/>
    <w:rsid w:val="004D3C86"/>
    <w:rsid w:val="004D52A7"/>
    <w:rsid w:val="004E0ED4"/>
    <w:rsid w:val="004E45A4"/>
    <w:rsid w:val="004E50EE"/>
    <w:rsid w:val="004E5C9D"/>
    <w:rsid w:val="004F253D"/>
    <w:rsid w:val="004F2FA5"/>
    <w:rsid w:val="004F39CC"/>
    <w:rsid w:val="00500620"/>
    <w:rsid w:val="005022C4"/>
    <w:rsid w:val="005065C7"/>
    <w:rsid w:val="00512FC8"/>
    <w:rsid w:val="00513748"/>
    <w:rsid w:val="00514D03"/>
    <w:rsid w:val="00522096"/>
    <w:rsid w:val="00524A2E"/>
    <w:rsid w:val="00525106"/>
    <w:rsid w:val="00525D2E"/>
    <w:rsid w:val="005313F0"/>
    <w:rsid w:val="0053782D"/>
    <w:rsid w:val="00540651"/>
    <w:rsid w:val="00541C57"/>
    <w:rsid w:val="00542A08"/>
    <w:rsid w:val="0054364B"/>
    <w:rsid w:val="005441B0"/>
    <w:rsid w:val="00544659"/>
    <w:rsid w:val="00546578"/>
    <w:rsid w:val="0055218E"/>
    <w:rsid w:val="00563392"/>
    <w:rsid w:val="00567D81"/>
    <w:rsid w:val="00570194"/>
    <w:rsid w:val="005730CA"/>
    <w:rsid w:val="00573145"/>
    <w:rsid w:val="00574989"/>
    <w:rsid w:val="0057706B"/>
    <w:rsid w:val="00580DAA"/>
    <w:rsid w:val="00586DFF"/>
    <w:rsid w:val="00586F62"/>
    <w:rsid w:val="005879D3"/>
    <w:rsid w:val="00590BF6"/>
    <w:rsid w:val="0059111D"/>
    <w:rsid w:val="00594DDE"/>
    <w:rsid w:val="005A304F"/>
    <w:rsid w:val="005A7988"/>
    <w:rsid w:val="005B3D39"/>
    <w:rsid w:val="005C1444"/>
    <w:rsid w:val="005C19D4"/>
    <w:rsid w:val="005C4D41"/>
    <w:rsid w:val="005C53AB"/>
    <w:rsid w:val="005D0116"/>
    <w:rsid w:val="005D4DD0"/>
    <w:rsid w:val="005D6F4F"/>
    <w:rsid w:val="005E3BF1"/>
    <w:rsid w:val="005E42BA"/>
    <w:rsid w:val="005E5D6A"/>
    <w:rsid w:val="005F1B0B"/>
    <w:rsid w:val="005F4D31"/>
    <w:rsid w:val="005F6D8A"/>
    <w:rsid w:val="006114A5"/>
    <w:rsid w:val="00620902"/>
    <w:rsid w:val="00621754"/>
    <w:rsid w:val="0062545A"/>
    <w:rsid w:val="00626CE5"/>
    <w:rsid w:val="00630774"/>
    <w:rsid w:val="00631223"/>
    <w:rsid w:val="00631BCC"/>
    <w:rsid w:val="00632FF0"/>
    <w:rsid w:val="00635962"/>
    <w:rsid w:val="00635D82"/>
    <w:rsid w:val="006362F5"/>
    <w:rsid w:val="0064071A"/>
    <w:rsid w:val="006420D0"/>
    <w:rsid w:val="006443FA"/>
    <w:rsid w:val="00644664"/>
    <w:rsid w:val="006448FD"/>
    <w:rsid w:val="006457C5"/>
    <w:rsid w:val="006462E7"/>
    <w:rsid w:val="00647540"/>
    <w:rsid w:val="00650041"/>
    <w:rsid w:val="0065031E"/>
    <w:rsid w:val="00652B88"/>
    <w:rsid w:val="0065314B"/>
    <w:rsid w:val="00654112"/>
    <w:rsid w:val="00657B1D"/>
    <w:rsid w:val="00661481"/>
    <w:rsid w:val="006664F5"/>
    <w:rsid w:val="006666F7"/>
    <w:rsid w:val="00666EEC"/>
    <w:rsid w:val="00670780"/>
    <w:rsid w:val="006740A7"/>
    <w:rsid w:val="006777C3"/>
    <w:rsid w:val="0069120A"/>
    <w:rsid w:val="00692E10"/>
    <w:rsid w:val="00694E2F"/>
    <w:rsid w:val="00696359"/>
    <w:rsid w:val="00697FF3"/>
    <w:rsid w:val="006A0C3E"/>
    <w:rsid w:val="006A0E32"/>
    <w:rsid w:val="006A0F9C"/>
    <w:rsid w:val="006A2CB5"/>
    <w:rsid w:val="006A58A3"/>
    <w:rsid w:val="006A71AD"/>
    <w:rsid w:val="006B2E8F"/>
    <w:rsid w:val="006B3C0C"/>
    <w:rsid w:val="006C1F4B"/>
    <w:rsid w:val="006C234F"/>
    <w:rsid w:val="006C45B7"/>
    <w:rsid w:val="006C47BE"/>
    <w:rsid w:val="006D11FD"/>
    <w:rsid w:val="006D4051"/>
    <w:rsid w:val="006E06D5"/>
    <w:rsid w:val="006E3EFC"/>
    <w:rsid w:val="006E572E"/>
    <w:rsid w:val="006F16A6"/>
    <w:rsid w:val="006F3C80"/>
    <w:rsid w:val="007013F2"/>
    <w:rsid w:val="00701C28"/>
    <w:rsid w:val="00701E62"/>
    <w:rsid w:val="0070351A"/>
    <w:rsid w:val="00703733"/>
    <w:rsid w:val="007053A8"/>
    <w:rsid w:val="00705769"/>
    <w:rsid w:val="007058CA"/>
    <w:rsid w:val="00711D0C"/>
    <w:rsid w:val="007126F3"/>
    <w:rsid w:val="007144AA"/>
    <w:rsid w:val="00716EF9"/>
    <w:rsid w:val="007234B7"/>
    <w:rsid w:val="00724B56"/>
    <w:rsid w:val="007267D8"/>
    <w:rsid w:val="00727885"/>
    <w:rsid w:val="00734289"/>
    <w:rsid w:val="00736316"/>
    <w:rsid w:val="00737E01"/>
    <w:rsid w:val="007401A4"/>
    <w:rsid w:val="00742964"/>
    <w:rsid w:val="00742988"/>
    <w:rsid w:val="00745181"/>
    <w:rsid w:val="00745CD9"/>
    <w:rsid w:val="00747215"/>
    <w:rsid w:val="007472FC"/>
    <w:rsid w:val="00747CC6"/>
    <w:rsid w:val="00747DDB"/>
    <w:rsid w:val="00757000"/>
    <w:rsid w:val="007710FE"/>
    <w:rsid w:val="00772F4E"/>
    <w:rsid w:val="007765B3"/>
    <w:rsid w:val="0077765F"/>
    <w:rsid w:val="00783A86"/>
    <w:rsid w:val="007868F7"/>
    <w:rsid w:val="00790EA3"/>
    <w:rsid w:val="00793034"/>
    <w:rsid w:val="007936B5"/>
    <w:rsid w:val="00795627"/>
    <w:rsid w:val="00795BF3"/>
    <w:rsid w:val="00796BA1"/>
    <w:rsid w:val="007A31C2"/>
    <w:rsid w:val="007A357E"/>
    <w:rsid w:val="007A358C"/>
    <w:rsid w:val="007A4CAF"/>
    <w:rsid w:val="007A770F"/>
    <w:rsid w:val="007B03CA"/>
    <w:rsid w:val="007B1E92"/>
    <w:rsid w:val="007B1ED5"/>
    <w:rsid w:val="007B5906"/>
    <w:rsid w:val="007B6BE9"/>
    <w:rsid w:val="007B7240"/>
    <w:rsid w:val="007B79BB"/>
    <w:rsid w:val="007C1262"/>
    <w:rsid w:val="007C418C"/>
    <w:rsid w:val="007C6216"/>
    <w:rsid w:val="007D1DF8"/>
    <w:rsid w:val="007D2584"/>
    <w:rsid w:val="007D48EB"/>
    <w:rsid w:val="007D4D96"/>
    <w:rsid w:val="007D5B39"/>
    <w:rsid w:val="007D60CE"/>
    <w:rsid w:val="007D7285"/>
    <w:rsid w:val="007D7314"/>
    <w:rsid w:val="007E0CF5"/>
    <w:rsid w:val="007E1968"/>
    <w:rsid w:val="007E367A"/>
    <w:rsid w:val="007F0CDB"/>
    <w:rsid w:val="007F18FF"/>
    <w:rsid w:val="007F2D5A"/>
    <w:rsid w:val="007F5133"/>
    <w:rsid w:val="007F5278"/>
    <w:rsid w:val="00802B67"/>
    <w:rsid w:val="00805E15"/>
    <w:rsid w:val="0081007B"/>
    <w:rsid w:val="008121FB"/>
    <w:rsid w:val="00812A01"/>
    <w:rsid w:val="00814A22"/>
    <w:rsid w:val="00817476"/>
    <w:rsid w:val="00817BD8"/>
    <w:rsid w:val="00820177"/>
    <w:rsid w:val="00820613"/>
    <w:rsid w:val="00822576"/>
    <w:rsid w:val="00826C0F"/>
    <w:rsid w:val="008279C2"/>
    <w:rsid w:val="0083095D"/>
    <w:rsid w:val="00831E91"/>
    <w:rsid w:val="0083376D"/>
    <w:rsid w:val="00837B60"/>
    <w:rsid w:val="00843B2C"/>
    <w:rsid w:val="00845A9E"/>
    <w:rsid w:val="00845CD5"/>
    <w:rsid w:val="0084741A"/>
    <w:rsid w:val="008506F1"/>
    <w:rsid w:val="008530B8"/>
    <w:rsid w:val="0086058B"/>
    <w:rsid w:val="00870693"/>
    <w:rsid w:val="00871C9F"/>
    <w:rsid w:val="008750C6"/>
    <w:rsid w:val="00875911"/>
    <w:rsid w:val="0088024A"/>
    <w:rsid w:val="00880748"/>
    <w:rsid w:val="008833BC"/>
    <w:rsid w:val="008967C1"/>
    <w:rsid w:val="008B03BD"/>
    <w:rsid w:val="008B212E"/>
    <w:rsid w:val="008B23E1"/>
    <w:rsid w:val="008B57B6"/>
    <w:rsid w:val="008C2B4E"/>
    <w:rsid w:val="008C3D1E"/>
    <w:rsid w:val="008D085F"/>
    <w:rsid w:val="008D5B8E"/>
    <w:rsid w:val="008D7C6C"/>
    <w:rsid w:val="008E4B76"/>
    <w:rsid w:val="008F7A97"/>
    <w:rsid w:val="008F7FAA"/>
    <w:rsid w:val="00900DF0"/>
    <w:rsid w:val="00900FEE"/>
    <w:rsid w:val="00901209"/>
    <w:rsid w:val="00901804"/>
    <w:rsid w:val="00901B6C"/>
    <w:rsid w:val="00906275"/>
    <w:rsid w:val="009071F8"/>
    <w:rsid w:val="009074CA"/>
    <w:rsid w:val="00907BCF"/>
    <w:rsid w:val="00907F22"/>
    <w:rsid w:val="00913170"/>
    <w:rsid w:val="00913500"/>
    <w:rsid w:val="00913E22"/>
    <w:rsid w:val="009177B5"/>
    <w:rsid w:val="00917971"/>
    <w:rsid w:val="00923556"/>
    <w:rsid w:val="009262D9"/>
    <w:rsid w:val="00931790"/>
    <w:rsid w:val="0093272F"/>
    <w:rsid w:val="00932B3C"/>
    <w:rsid w:val="0093347A"/>
    <w:rsid w:val="00940CD3"/>
    <w:rsid w:val="0094100B"/>
    <w:rsid w:val="009424B6"/>
    <w:rsid w:val="00943722"/>
    <w:rsid w:val="009509CA"/>
    <w:rsid w:val="00953949"/>
    <w:rsid w:val="00954256"/>
    <w:rsid w:val="009559DE"/>
    <w:rsid w:val="00960C09"/>
    <w:rsid w:val="00961207"/>
    <w:rsid w:val="00963793"/>
    <w:rsid w:val="009645D4"/>
    <w:rsid w:val="00967C4B"/>
    <w:rsid w:val="00971292"/>
    <w:rsid w:val="00971D92"/>
    <w:rsid w:val="0097283E"/>
    <w:rsid w:val="00972E63"/>
    <w:rsid w:val="00972FD9"/>
    <w:rsid w:val="009748E2"/>
    <w:rsid w:val="00975A84"/>
    <w:rsid w:val="00977234"/>
    <w:rsid w:val="00982F9E"/>
    <w:rsid w:val="00983D0B"/>
    <w:rsid w:val="009868C4"/>
    <w:rsid w:val="0098745E"/>
    <w:rsid w:val="009879B8"/>
    <w:rsid w:val="009945E2"/>
    <w:rsid w:val="00996A79"/>
    <w:rsid w:val="009971D9"/>
    <w:rsid w:val="009A259C"/>
    <w:rsid w:val="009A332B"/>
    <w:rsid w:val="009A4704"/>
    <w:rsid w:val="009A7741"/>
    <w:rsid w:val="009B1BBF"/>
    <w:rsid w:val="009B4394"/>
    <w:rsid w:val="009B492B"/>
    <w:rsid w:val="009B4A66"/>
    <w:rsid w:val="009C23A4"/>
    <w:rsid w:val="009C2943"/>
    <w:rsid w:val="009C2F82"/>
    <w:rsid w:val="009C6DE0"/>
    <w:rsid w:val="009C71CB"/>
    <w:rsid w:val="009C721F"/>
    <w:rsid w:val="009C7BC7"/>
    <w:rsid w:val="009D0781"/>
    <w:rsid w:val="009D0C74"/>
    <w:rsid w:val="009D32FD"/>
    <w:rsid w:val="009D556C"/>
    <w:rsid w:val="009D64AD"/>
    <w:rsid w:val="009F00C4"/>
    <w:rsid w:val="009F0BA6"/>
    <w:rsid w:val="009F1ABC"/>
    <w:rsid w:val="009F355C"/>
    <w:rsid w:val="009F3E71"/>
    <w:rsid w:val="009F7A0A"/>
    <w:rsid w:val="00A01111"/>
    <w:rsid w:val="00A01145"/>
    <w:rsid w:val="00A01F60"/>
    <w:rsid w:val="00A0489C"/>
    <w:rsid w:val="00A04AD9"/>
    <w:rsid w:val="00A0525C"/>
    <w:rsid w:val="00A1597B"/>
    <w:rsid w:val="00A16E4F"/>
    <w:rsid w:val="00A16FF2"/>
    <w:rsid w:val="00A1749B"/>
    <w:rsid w:val="00A17684"/>
    <w:rsid w:val="00A17CDC"/>
    <w:rsid w:val="00A228A3"/>
    <w:rsid w:val="00A22F93"/>
    <w:rsid w:val="00A27030"/>
    <w:rsid w:val="00A30C4F"/>
    <w:rsid w:val="00A33080"/>
    <w:rsid w:val="00A343ED"/>
    <w:rsid w:val="00A376EB"/>
    <w:rsid w:val="00A438D1"/>
    <w:rsid w:val="00A43DE1"/>
    <w:rsid w:val="00A444D4"/>
    <w:rsid w:val="00A47CA1"/>
    <w:rsid w:val="00A50F79"/>
    <w:rsid w:val="00A51DC0"/>
    <w:rsid w:val="00A608A0"/>
    <w:rsid w:val="00A60A53"/>
    <w:rsid w:val="00A617E1"/>
    <w:rsid w:val="00A61AF4"/>
    <w:rsid w:val="00A632BA"/>
    <w:rsid w:val="00A63881"/>
    <w:rsid w:val="00A64165"/>
    <w:rsid w:val="00A67CB1"/>
    <w:rsid w:val="00A70A16"/>
    <w:rsid w:val="00A72E5B"/>
    <w:rsid w:val="00A74043"/>
    <w:rsid w:val="00A7499E"/>
    <w:rsid w:val="00A810C4"/>
    <w:rsid w:val="00A83AA1"/>
    <w:rsid w:val="00A84D58"/>
    <w:rsid w:val="00A854A8"/>
    <w:rsid w:val="00A87DCF"/>
    <w:rsid w:val="00A94195"/>
    <w:rsid w:val="00A948FB"/>
    <w:rsid w:val="00AA4C8D"/>
    <w:rsid w:val="00AA798F"/>
    <w:rsid w:val="00AB378A"/>
    <w:rsid w:val="00AB5298"/>
    <w:rsid w:val="00AC0402"/>
    <w:rsid w:val="00AC129D"/>
    <w:rsid w:val="00AC575C"/>
    <w:rsid w:val="00AC679D"/>
    <w:rsid w:val="00AC6CDC"/>
    <w:rsid w:val="00AC70B9"/>
    <w:rsid w:val="00AC7407"/>
    <w:rsid w:val="00AD4CA2"/>
    <w:rsid w:val="00AD6ED4"/>
    <w:rsid w:val="00AE1098"/>
    <w:rsid w:val="00AE2304"/>
    <w:rsid w:val="00AE2D7B"/>
    <w:rsid w:val="00AF3E85"/>
    <w:rsid w:val="00AF576F"/>
    <w:rsid w:val="00AF611E"/>
    <w:rsid w:val="00B04015"/>
    <w:rsid w:val="00B11D15"/>
    <w:rsid w:val="00B14288"/>
    <w:rsid w:val="00B16052"/>
    <w:rsid w:val="00B205DE"/>
    <w:rsid w:val="00B20CB2"/>
    <w:rsid w:val="00B21BD1"/>
    <w:rsid w:val="00B23947"/>
    <w:rsid w:val="00B253A7"/>
    <w:rsid w:val="00B26316"/>
    <w:rsid w:val="00B32C39"/>
    <w:rsid w:val="00B330CD"/>
    <w:rsid w:val="00B339EE"/>
    <w:rsid w:val="00B36263"/>
    <w:rsid w:val="00B40E3E"/>
    <w:rsid w:val="00B41CFE"/>
    <w:rsid w:val="00B44478"/>
    <w:rsid w:val="00B44929"/>
    <w:rsid w:val="00B50EAB"/>
    <w:rsid w:val="00B515DE"/>
    <w:rsid w:val="00B54391"/>
    <w:rsid w:val="00B57AEE"/>
    <w:rsid w:val="00B62F13"/>
    <w:rsid w:val="00B64D74"/>
    <w:rsid w:val="00B65FF0"/>
    <w:rsid w:val="00B66303"/>
    <w:rsid w:val="00B7053F"/>
    <w:rsid w:val="00B70E1C"/>
    <w:rsid w:val="00B74E5C"/>
    <w:rsid w:val="00B77C8F"/>
    <w:rsid w:val="00B80624"/>
    <w:rsid w:val="00B8469B"/>
    <w:rsid w:val="00B9020D"/>
    <w:rsid w:val="00B90899"/>
    <w:rsid w:val="00B91FC0"/>
    <w:rsid w:val="00B92D8C"/>
    <w:rsid w:val="00B9319A"/>
    <w:rsid w:val="00B94ACE"/>
    <w:rsid w:val="00B97120"/>
    <w:rsid w:val="00BA2790"/>
    <w:rsid w:val="00BB1930"/>
    <w:rsid w:val="00BB23F4"/>
    <w:rsid w:val="00BB2A31"/>
    <w:rsid w:val="00BB4E04"/>
    <w:rsid w:val="00BB64DA"/>
    <w:rsid w:val="00BB77E5"/>
    <w:rsid w:val="00BC6F06"/>
    <w:rsid w:val="00BD07AE"/>
    <w:rsid w:val="00BE122C"/>
    <w:rsid w:val="00BE5D4D"/>
    <w:rsid w:val="00BE65D7"/>
    <w:rsid w:val="00BE7D96"/>
    <w:rsid w:val="00BF31DF"/>
    <w:rsid w:val="00C01DF0"/>
    <w:rsid w:val="00C058D5"/>
    <w:rsid w:val="00C07109"/>
    <w:rsid w:val="00C0737A"/>
    <w:rsid w:val="00C109F4"/>
    <w:rsid w:val="00C1197C"/>
    <w:rsid w:val="00C125C0"/>
    <w:rsid w:val="00C1455D"/>
    <w:rsid w:val="00C14BC0"/>
    <w:rsid w:val="00C15BDF"/>
    <w:rsid w:val="00C16DFA"/>
    <w:rsid w:val="00C17A5B"/>
    <w:rsid w:val="00C2341B"/>
    <w:rsid w:val="00C246B9"/>
    <w:rsid w:val="00C24FAF"/>
    <w:rsid w:val="00C27459"/>
    <w:rsid w:val="00C32212"/>
    <w:rsid w:val="00C32215"/>
    <w:rsid w:val="00C37794"/>
    <w:rsid w:val="00C430AB"/>
    <w:rsid w:val="00C4326C"/>
    <w:rsid w:val="00C443EF"/>
    <w:rsid w:val="00C4455D"/>
    <w:rsid w:val="00C45888"/>
    <w:rsid w:val="00C46FE1"/>
    <w:rsid w:val="00C476E4"/>
    <w:rsid w:val="00C4785F"/>
    <w:rsid w:val="00C56B68"/>
    <w:rsid w:val="00C61237"/>
    <w:rsid w:val="00C646BC"/>
    <w:rsid w:val="00C64E76"/>
    <w:rsid w:val="00C706C7"/>
    <w:rsid w:val="00C72461"/>
    <w:rsid w:val="00C72E85"/>
    <w:rsid w:val="00C859E3"/>
    <w:rsid w:val="00C870E0"/>
    <w:rsid w:val="00C9059B"/>
    <w:rsid w:val="00C93D33"/>
    <w:rsid w:val="00C96599"/>
    <w:rsid w:val="00CA0F4A"/>
    <w:rsid w:val="00CA1255"/>
    <w:rsid w:val="00CA3484"/>
    <w:rsid w:val="00CA3983"/>
    <w:rsid w:val="00CA5FB5"/>
    <w:rsid w:val="00CB2324"/>
    <w:rsid w:val="00CB387C"/>
    <w:rsid w:val="00CB3D2E"/>
    <w:rsid w:val="00CB72D5"/>
    <w:rsid w:val="00CC5516"/>
    <w:rsid w:val="00CC7298"/>
    <w:rsid w:val="00CD3091"/>
    <w:rsid w:val="00CD79D6"/>
    <w:rsid w:val="00CE1812"/>
    <w:rsid w:val="00CE6C8C"/>
    <w:rsid w:val="00CF3C0F"/>
    <w:rsid w:val="00CF4D14"/>
    <w:rsid w:val="00D01960"/>
    <w:rsid w:val="00D036AF"/>
    <w:rsid w:val="00D1114E"/>
    <w:rsid w:val="00D120C9"/>
    <w:rsid w:val="00D15BB0"/>
    <w:rsid w:val="00D161FE"/>
    <w:rsid w:val="00D16650"/>
    <w:rsid w:val="00D1677B"/>
    <w:rsid w:val="00D1777A"/>
    <w:rsid w:val="00D17E49"/>
    <w:rsid w:val="00D211F6"/>
    <w:rsid w:val="00D262DB"/>
    <w:rsid w:val="00D31502"/>
    <w:rsid w:val="00D41164"/>
    <w:rsid w:val="00D414D6"/>
    <w:rsid w:val="00D41DC5"/>
    <w:rsid w:val="00D43E77"/>
    <w:rsid w:val="00D455B4"/>
    <w:rsid w:val="00D47A6A"/>
    <w:rsid w:val="00D53DA8"/>
    <w:rsid w:val="00D55E01"/>
    <w:rsid w:val="00D57086"/>
    <w:rsid w:val="00D5793D"/>
    <w:rsid w:val="00D7135A"/>
    <w:rsid w:val="00D721A3"/>
    <w:rsid w:val="00D7317D"/>
    <w:rsid w:val="00D751DC"/>
    <w:rsid w:val="00D77368"/>
    <w:rsid w:val="00D81E61"/>
    <w:rsid w:val="00D83C68"/>
    <w:rsid w:val="00D863F2"/>
    <w:rsid w:val="00D91ABB"/>
    <w:rsid w:val="00D94CC1"/>
    <w:rsid w:val="00D950BB"/>
    <w:rsid w:val="00D9690F"/>
    <w:rsid w:val="00D96ABC"/>
    <w:rsid w:val="00D979CA"/>
    <w:rsid w:val="00DA01A6"/>
    <w:rsid w:val="00DA60CB"/>
    <w:rsid w:val="00DB0099"/>
    <w:rsid w:val="00DB0468"/>
    <w:rsid w:val="00DC2F9A"/>
    <w:rsid w:val="00DC3FDB"/>
    <w:rsid w:val="00DC6F37"/>
    <w:rsid w:val="00DD0BF4"/>
    <w:rsid w:val="00DD0F1F"/>
    <w:rsid w:val="00DD2680"/>
    <w:rsid w:val="00DD3578"/>
    <w:rsid w:val="00DD6424"/>
    <w:rsid w:val="00DE1A6A"/>
    <w:rsid w:val="00DE2A4D"/>
    <w:rsid w:val="00DE62CC"/>
    <w:rsid w:val="00DE62E8"/>
    <w:rsid w:val="00DF659A"/>
    <w:rsid w:val="00DF71EA"/>
    <w:rsid w:val="00DF7820"/>
    <w:rsid w:val="00E0088E"/>
    <w:rsid w:val="00E00E2D"/>
    <w:rsid w:val="00E03233"/>
    <w:rsid w:val="00E033CE"/>
    <w:rsid w:val="00E05A65"/>
    <w:rsid w:val="00E076D9"/>
    <w:rsid w:val="00E11226"/>
    <w:rsid w:val="00E15128"/>
    <w:rsid w:val="00E15B02"/>
    <w:rsid w:val="00E20EEA"/>
    <w:rsid w:val="00E21A89"/>
    <w:rsid w:val="00E21C75"/>
    <w:rsid w:val="00E23F4D"/>
    <w:rsid w:val="00E23FC2"/>
    <w:rsid w:val="00E34FA4"/>
    <w:rsid w:val="00E3531E"/>
    <w:rsid w:val="00E42211"/>
    <w:rsid w:val="00E43180"/>
    <w:rsid w:val="00E43DB1"/>
    <w:rsid w:val="00E47057"/>
    <w:rsid w:val="00E52205"/>
    <w:rsid w:val="00E53CAC"/>
    <w:rsid w:val="00E6125D"/>
    <w:rsid w:val="00E6211C"/>
    <w:rsid w:val="00E62ECE"/>
    <w:rsid w:val="00E64C51"/>
    <w:rsid w:val="00E65DB7"/>
    <w:rsid w:val="00E66353"/>
    <w:rsid w:val="00E666DC"/>
    <w:rsid w:val="00E70B3C"/>
    <w:rsid w:val="00E71D1A"/>
    <w:rsid w:val="00E72A06"/>
    <w:rsid w:val="00E734AE"/>
    <w:rsid w:val="00E739AA"/>
    <w:rsid w:val="00E74E4C"/>
    <w:rsid w:val="00E777EA"/>
    <w:rsid w:val="00E810D9"/>
    <w:rsid w:val="00E83C1D"/>
    <w:rsid w:val="00E84ECE"/>
    <w:rsid w:val="00E852C6"/>
    <w:rsid w:val="00E855E2"/>
    <w:rsid w:val="00EA06DF"/>
    <w:rsid w:val="00EA39AB"/>
    <w:rsid w:val="00EA4C04"/>
    <w:rsid w:val="00EA589C"/>
    <w:rsid w:val="00EA71B7"/>
    <w:rsid w:val="00EB21F7"/>
    <w:rsid w:val="00EB2CCD"/>
    <w:rsid w:val="00EB5C9B"/>
    <w:rsid w:val="00EC5048"/>
    <w:rsid w:val="00EC701E"/>
    <w:rsid w:val="00ED0D55"/>
    <w:rsid w:val="00ED2574"/>
    <w:rsid w:val="00ED2D64"/>
    <w:rsid w:val="00ED2D7A"/>
    <w:rsid w:val="00ED2F93"/>
    <w:rsid w:val="00ED412A"/>
    <w:rsid w:val="00ED601A"/>
    <w:rsid w:val="00ED6CFF"/>
    <w:rsid w:val="00EE3CB2"/>
    <w:rsid w:val="00EE3D5A"/>
    <w:rsid w:val="00EE4232"/>
    <w:rsid w:val="00EF0BC7"/>
    <w:rsid w:val="00EF17EF"/>
    <w:rsid w:val="00EF3A78"/>
    <w:rsid w:val="00EF4F08"/>
    <w:rsid w:val="00EF5FC1"/>
    <w:rsid w:val="00EF61E1"/>
    <w:rsid w:val="00EF74F4"/>
    <w:rsid w:val="00F01E23"/>
    <w:rsid w:val="00F02005"/>
    <w:rsid w:val="00F02357"/>
    <w:rsid w:val="00F025B6"/>
    <w:rsid w:val="00F02F8D"/>
    <w:rsid w:val="00F03D45"/>
    <w:rsid w:val="00F07066"/>
    <w:rsid w:val="00F128FA"/>
    <w:rsid w:val="00F12DD3"/>
    <w:rsid w:val="00F16C9E"/>
    <w:rsid w:val="00F1772D"/>
    <w:rsid w:val="00F200AF"/>
    <w:rsid w:val="00F21086"/>
    <w:rsid w:val="00F2152A"/>
    <w:rsid w:val="00F24723"/>
    <w:rsid w:val="00F24E6E"/>
    <w:rsid w:val="00F3211E"/>
    <w:rsid w:val="00F37403"/>
    <w:rsid w:val="00F449E8"/>
    <w:rsid w:val="00F5040F"/>
    <w:rsid w:val="00F55569"/>
    <w:rsid w:val="00F55BB2"/>
    <w:rsid w:val="00F6066B"/>
    <w:rsid w:val="00F612DB"/>
    <w:rsid w:val="00F61338"/>
    <w:rsid w:val="00F6169B"/>
    <w:rsid w:val="00F620C2"/>
    <w:rsid w:val="00F622C7"/>
    <w:rsid w:val="00F70472"/>
    <w:rsid w:val="00F720E1"/>
    <w:rsid w:val="00F75B59"/>
    <w:rsid w:val="00F75C28"/>
    <w:rsid w:val="00F800BF"/>
    <w:rsid w:val="00F80177"/>
    <w:rsid w:val="00F81A18"/>
    <w:rsid w:val="00F8264D"/>
    <w:rsid w:val="00F86DA7"/>
    <w:rsid w:val="00F903D6"/>
    <w:rsid w:val="00F92A4A"/>
    <w:rsid w:val="00FA0CAC"/>
    <w:rsid w:val="00FA6B0B"/>
    <w:rsid w:val="00FA7939"/>
    <w:rsid w:val="00FB1E3D"/>
    <w:rsid w:val="00FB20E8"/>
    <w:rsid w:val="00FB3174"/>
    <w:rsid w:val="00FB375B"/>
    <w:rsid w:val="00FC31EB"/>
    <w:rsid w:val="00FD18AB"/>
    <w:rsid w:val="00FD1932"/>
    <w:rsid w:val="00FD1F51"/>
    <w:rsid w:val="00FD20DE"/>
    <w:rsid w:val="00FD33E8"/>
    <w:rsid w:val="00FD4F53"/>
    <w:rsid w:val="00FF0B58"/>
    <w:rsid w:val="00FF2530"/>
    <w:rsid w:val="00FF34C7"/>
    <w:rsid w:val="00FF445C"/>
    <w:rsid w:val="00FF7AF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annotation subjec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1D6"/>
    <w:pPr>
      <w:widowControl w:val="0"/>
    </w:pPr>
    <w:rPr>
      <w:kern w:val="2"/>
      <w:sz w:val="24"/>
      <w:szCs w:val="22"/>
    </w:rPr>
  </w:style>
  <w:style w:type="paragraph" w:styleId="1">
    <w:name w:val="heading 1"/>
    <w:basedOn w:val="a"/>
    <w:link w:val="10"/>
    <w:uiPriority w:val="99"/>
    <w:qFormat/>
    <w:rsid w:val="003B56BC"/>
    <w:pPr>
      <w:widowControl/>
      <w:spacing w:before="100" w:beforeAutospacing="1" w:after="100" w:afterAutospacing="1"/>
      <w:outlineLvl w:val="0"/>
    </w:pPr>
    <w:rPr>
      <w:rFonts w:ascii="新細明體" w:hAnsi="新細明體" w:cs="新細明體"/>
      <w:b/>
      <w:bCs/>
      <w:kern w:val="36"/>
      <w:sz w:val="48"/>
      <w:szCs w:val="48"/>
      <w:lang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3B56BC"/>
    <w:rPr>
      <w:rFonts w:ascii="新細明體" w:eastAsia="新細明體" w:hAnsi="新細明體" w:cs="新細明體"/>
      <w:b/>
      <w:bCs/>
      <w:kern w:val="36"/>
      <w:sz w:val="48"/>
      <w:szCs w:val="48"/>
      <w:lang w:bidi="hi-IN"/>
    </w:rPr>
  </w:style>
  <w:style w:type="character" w:customStyle="1" w:styleId="a3">
    <w:name w:val="週間接獲則數"/>
    <w:basedOn w:val="a0"/>
    <w:uiPriority w:val="99"/>
    <w:rsid w:val="00EA06DF"/>
    <w:rPr>
      <w:rFonts w:cs="Times New Roman"/>
      <w:b/>
      <w:color w:val="7030A0"/>
      <w:sz w:val="28"/>
    </w:rPr>
  </w:style>
  <w:style w:type="paragraph" w:styleId="a4">
    <w:name w:val="header"/>
    <w:basedOn w:val="a"/>
    <w:link w:val="a5"/>
    <w:uiPriority w:val="99"/>
    <w:rsid w:val="003B56BC"/>
    <w:pPr>
      <w:tabs>
        <w:tab w:val="center" w:pos="4153"/>
        <w:tab w:val="right" w:pos="8306"/>
      </w:tabs>
      <w:snapToGrid w:val="0"/>
    </w:pPr>
    <w:rPr>
      <w:sz w:val="20"/>
      <w:szCs w:val="20"/>
    </w:rPr>
  </w:style>
  <w:style w:type="character" w:customStyle="1" w:styleId="a5">
    <w:name w:val="頁首 字元"/>
    <w:basedOn w:val="a0"/>
    <w:link w:val="a4"/>
    <w:uiPriority w:val="99"/>
    <w:locked/>
    <w:rsid w:val="003B56BC"/>
    <w:rPr>
      <w:rFonts w:cs="Times New Roman"/>
      <w:sz w:val="20"/>
      <w:szCs w:val="20"/>
    </w:rPr>
  </w:style>
  <w:style w:type="paragraph" w:styleId="a6">
    <w:name w:val="footer"/>
    <w:basedOn w:val="a"/>
    <w:link w:val="a7"/>
    <w:uiPriority w:val="99"/>
    <w:rsid w:val="003B56BC"/>
    <w:pPr>
      <w:tabs>
        <w:tab w:val="center" w:pos="4153"/>
        <w:tab w:val="right" w:pos="8306"/>
      </w:tabs>
      <w:snapToGrid w:val="0"/>
    </w:pPr>
    <w:rPr>
      <w:sz w:val="20"/>
      <w:szCs w:val="20"/>
    </w:rPr>
  </w:style>
  <w:style w:type="character" w:customStyle="1" w:styleId="a7">
    <w:name w:val="頁尾 字元"/>
    <w:basedOn w:val="a0"/>
    <w:link w:val="a6"/>
    <w:uiPriority w:val="99"/>
    <w:locked/>
    <w:rsid w:val="003B56BC"/>
    <w:rPr>
      <w:rFonts w:cs="Times New Roman"/>
      <w:sz w:val="20"/>
      <w:szCs w:val="20"/>
    </w:rPr>
  </w:style>
  <w:style w:type="paragraph" w:styleId="Web">
    <w:name w:val="Normal (Web)"/>
    <w:basedOn w:val="a"/>
    <w:uiPriority w:val="99"/>
    <w:rsid w:val="007D48EB"/>
    <w:pPr>
      <w:widowControl/>
      <w:spacing w:before="100" w:beforeAutospacing="1" w:after="100" w:afterAutospacing="1"/>
    </w:pPr>
    <w:rPr>
      <w:rFonts w:ascii="Arial Unicode MS" w:eastAsia="Arial Unicode MS" w:hAnsi="Arial Unicode MS" w:cs="Arial Unicode MS"/>
      <w:kern w:val="0"/>
      <w:szCs w:val="24"/>
    </w:rPr>
  </w:style>
  <w:style w:type="paragraph" w:customStyle="1" w:styleId="Default">
    <w:name w:val="Default"/>
    <w:uiPriority w:val="99"/>
    <w:rsid w:val="007D48EB"/>
    <w:pPr>
      <w:widowControl w:val="0"/>
      <w:autoSpaceDE w:val="0"/>
      <w:autoSpaceDN w:val="0"/>
      <w:adjustRightInd w:val="0"/>
    </w:pPr>
    <w:rPr>
      <w:rFonts w:ascii="新細明體" w:hAnsi="Times New Roman" w:cs="新細明體"/>
      <w:color w:val="000000"/>
      <w:sz w:val="24"/>
      <w:szCs w:val="24"/>
    </w:rPr>
  </w:style>
  <w:style w:type="paragraph" w:customStyle="1" w:styleId="a8">
    <w:name w:val=".."/>
    <w:basedOn w:val="a"/>
    <w:next w:val="a"/>
    <w:uiPriority w:val="99"/>
    <w:rsid w:val="007D48EB"/>
    <w:pPr>
      <w:autoSpaceDE w:val="0"/>
      <w:autoSpaceDN w:val="0"/>
      <w:adjustRightInd w:val="0"/>
    </w:pPr>
    <w:rPr>
      <w:rFonts w:ascii="標楷體" w:eastAsia="標楷體"/>
      <w:kern w:val="0"/>
      <w:szCs w:val="24"/>
    </w:rPr>
  </w:style>
  <w:style w:type="paragraph" w:styleId="a9">
    <w:name w:val="List Paragraph"/>
    <w:basedOn w:val="a"/>
    <w:uiPriority w:val="99"/>
    <w:qFormat/>
    <w:rsid w:val="00A64165"/>
    <w:pPr>
      <w:ind w:leftChars="200" w:left="480"/>
    </w:pPr>
  </w:style>
  <w:style w:type="character" w:styleId="aa">
    <w:name w:val="Emphasis"/>
    <w:basedOn w:val="a0"/>
    <w:uiPriority w:val="99"/>
    <w:qFormat/>
    <w:rsid w:val="006F3C80"/>
    <w:rPr>
      <w:rFonts w:cs="Times New Roman"/>
      <w:color w:val="DD4B39"/>
    </w:rPr>
  </w:style>
  <w:style w:type="character" w:styleId="ab">
    <w:name w:val="Hyperlink"/>
    <w:basedOn w:val="a0"/>
    <w:uiPriority w:val="99"/>
    <w:rsid w:val="001365D2"/>
    <w:rPr>
      <w:rFonts w:cs="Times New Roman"/>
      <w:color w:val="0000FF"/>
      <w:u w:val="single"/>
    </w:rPr>
  </w:style>
  <w:style w:type="character" w:styleId="ac">
    <w:name w:val="Strong"/>
    <w:basedOn w:val="a0"/>
    <w:uiPriority w:val="99"/>
    <w:qFormat/>
    <w:rsid w:val="00F01E23"/>
    <w:rPr>
      <w:rFonts w:cs="Times New Roman"/>
      <w:b/>
      <w:bCs/>
    </w:rPr>
  </w:style>
  <w:style w:type="character" w:customStyle="1" w:styleId="st1">
    <w:name w:val="st1"/>
    <w:basedOn w:val="a0"/>
    <w:uiPriority w:val="99"/>
    <w:rsid w:val="00F01E23"/>
    <w:rPr>
      <w:rFonts w:cs="Times New Roman"/>
    </w:rPr>
  </w:style>
  <w:style w:type="character" w:customStyle="1" w:styleId="apple-converted-space">
    <w:name w:val="apple-converted-space"/>
    <w:basedOn w:val="a0"/>
    <w:rsid w:val="00544659"/>
  </w:style>
  <w:style w:type="paragraph" w:styleId="ad">
    <w:name w:val="annotation text"/>
    <w:basedOn w:val="a"/>
    <w:link w:val="ae"/>
    <w:uiPriority w:val="99"/>
    <w:semiHidden/>
    <w:unhideWhenUsed/>
    <w:rsid w:val="00270E2E"/>
  </w:style>
  <w:style w:type="character" w:customStyle="1" w:styleId="ae">
    <w:name w:val="註解文字 字元"/>
    <w:basedOn w:val="a0"/>
    <w:link w:val="ad"/>
    <w:uiPriority w:val="99"/>
    <w:semiHidden/>
    <w:rsid w:val="00270E2E"/>
    <w:rPr>
      <w:kern w:val="2"/>
      <w:sz w:val="24"/>
      <w:szCs w:val="22"/>
    </w:rPr>
  </w:style>
  <w:style w:type="paragraph" w:styleId="af">
    <w:name w:val="annotation subject"/>
    <w:basedOn w:val="ad"/>
    <w:next w:val="ad"/>
    <w:link w:val="af0"/>
    <w:rsid w:val="00270E2E"/>
    <w:rPr>
      <w:rFonts w:ascii="Times New Roman" w:hAnsi="Times New Roman"/>
      <w:b/>
      <w:bCs/>
      <w:szCs w:val="24"/>
    </w:rPr>
  </w:style>
  <w:style w:type="character" w:customStyle="1" w:styleId="af0">
    <w:name w:val="註解主旨 字元"/>
    <w:basedOn w:val="ae"/>
    <w:link w:val="af"/>
    <w:rsid w:val="00270E2E"/>
    <w:rPr>
      <w:rFonts w:ascii="Times New Roman" w:hAnsi="Times New Roman"/>
      <w:b/>
      <w:bCs/>
      <w:kern w:val="2"/>
      <w:sz w:val="24"/>
      <w:szCs w:val="24"/>
    </w:rPr>
  </w:style>
  <w:style w:type="character" w:styleId="af1">
    <w:name w:val="annotation reference"/>
    <w:basedOn w:val="a0"/>
    <w:uiPriority w:val="99"/>
    <w:semiHidden/>
    <w:unhideWhenUsed/>
    <w:rsid w:val="001E1874"/>
    <w:rPr>
      <w:sz w:val="18"/>
      <w:szCs w:val="18"/>
    </w:rPr>
  </w:style>
  <w:style w:type="paragraph" w:styleId="af2">
    <w:name w:val="Balloon Text"/>
    <w:basedOn w:val="a"/>
    <w:link w:val="af3"/>
    <w:uiPriority w:val="99"/>
    <w:semiHidden/>
    <w:unhideWhenUsed/>
    <w:rsid w:val="001E1874"/>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1E1874"/>
    <w:rPr>
      <w:rFonts w:asciiTheme="majorHAnsi" w:eastAsiaTheme="majorEastAsia" w:hAnsiTheme="majorHAnsi" w:cstheme="majorBidi"/>
      <w:kern w:val="2"/>
      <w:sz w:val="18"/>
      <w:szCs w:val="18"/>
    </w:rPr>
  </w:style>
  <w:style w:type="character" w:styleId="af4">
    <w:name w:val="FollowedHyperlink"/>
    <w:basedOn w:val="a0"/>
    <w:uiPriority w:val="99"/>
    <w:semiHidden/>
    <w:unhideWhenUsed/>
    <w:rsid w:val="009868C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10842">
      <w:marLeft w:val="0"/>
      <w:marRight w:val="0"/>
      <w:marTop w:val="0"/>
      <w:marBottom w:val="0"/>
      <w:divBdr>
        <w:top w:val="none" w:sz="0" w:space="0" w:color="auto"/>
        <w:left w:val="none" w:sz="0" w:space="0" w:color="auto"/>
        <w:bottom w:val="none" w:sz="0" w:space="0" w:color="auto"/>
        <w:right w:val="none" w:sz="0" w:space="0" w:color="auto"/>
      </w:divBdr>
      <w:divsChild>
        <w:div w:id="1010844">
          <w:marLeft w:val="0"/>
          <w:marRight w:val="0"/>
          <w:marTop w:val="0"/>
          <w:marBottom w:val="0"/>
          <w:divBdr>
            <w:top w:val="none" w:sz="0" w:space="0" w:color="auto"/>
            <w:left w:val="none" w:sz="0" w:space="0" w:color="auto"/>
            <w:bottom w:val="none" w:sz="0" w:space="0" w:color="auto"/>
            <w:right w:val="none" w:sz="0" w:space="0" w:color="auto"/>
          </w:divBdr>
          <w:divsChild>
            <w:div w:id="1010855">
              <w:marLeft w:val="0"/>
              <w:marRight w:val="0"/>
              <w:marTop w:val="120"/>
              <w:marBottom w:val="0"/>
              <w:divBdr>
                <w:top w:val="none" w:sz="0" w:space="0" w:color="auto"/>
                <w:left w:val="none" w:sz="0" w:space="0" w:color="auto"/>
                <w:bottom w:val="single" w:sz="24" w:space="0" w:color="E3F3B4"/>
                <w:right w:val="none" w:sz="0" w:space="0" w:color="auto"/>
              </w:divBdr>
              <w:divsChild>
                <w:div w:id="101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43">
      <w:marLeft w:val="0"/>
      <w:marRight w:val="0"/>
      <w:marTop w:val="0"/>
      <w:marBottom w:val="0"/>
      <w:divBdr>
        <w:top w:val="none" w:sz="0" w:space="0" w:color="auto"/>
        <w:left w:val="none" w:sz="0" w:space="0" w:color="auto"/>
        <w:bottom w:val="none" w:sz="0" w:space="0" w:color="auto"/>
        <w:right w:val="none" w:sz="0" w:space="0" w:color="auto"/>
      </w:divBdr>
      <w:divsChild>
        <w:div w:id="1010861">
          <w:marLeft w:val="0"/>
          <w:marRight w:val="0"/>
          <w:marTop w:val="0"/>
          <w:marBottom w:val="0"/>
          <w:divBdr>
            <w:top w:val="none" w:sz="0" w:space="0" w:color="auto"/>
            <w:left w:val="none" w:sz="0" w:space="0" w:color="auto"/>
            <w:bottom w:val="none" w:sz="0" w:space="0" w:color="auto"/>
            <w:right w:val="none" w:sz="0" w:space="0" w:color="auto"/>
          </w:divBdr>
          <w:divsChild>
            <w:div w:id="1010867">
              <w:marLeft w:val="0"/>
              <w:marRight w:val="0"/>
              <w:marTop w:val="120"/>
              <w:marBottom w:val="0"/>
              <w:divBdr>
                <w:top w:val="none" w:sz="0" w:space="0" w:color="auto"/>
                <w:left w:val="none" w:sz="0" w:space="0" w:color="auto"/>
                <w:bottom w:val="single" w:sz="24" w:space="0" w:color="E3F3B4"/>
                <w:right w:val="none" w:sz="0" w:space="0" w:color="auto"/>
              </w:divBdr>
              <w:divsChild>
                <w:div w:id="101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45">
      <w:marLeft w:val="0"/>
      <w:marRight w:val="0"/>
      <w:marTop w:val="0"/>
      <w:marBottom w:val="0"/>
      <w:divBdr>
        <w:top w:val="none" w:sz="0" w:space="0" w:color="auto"/>
        <w:left w:val="none" w:sz="0" w:space="0" w:color="auto"/>
        <w:bottom w:val="none" w:sz="0" w:space="0" w:color="auto"/>
        <w:right w:val="none" w:sz="0" w:space="0" w:color="auto"/>
      </w:divBdr>
      <w:divsChild>
        <w:div w:id="1010864">
          <w:marLeft w:val="0"/>
          <w:marRight w:val="0"/>
          <w:marTop w:val="0"/>
          <w:marBottom w:val="0"/>
          <w:divBdr>
            <w:top w:val="none" w:sz="0" w:space="0" w:color="auto"/>
            <w:left w:val="none" w:sz="0" w:space="0" w:color="auto"/>
            <w:bottom w:val="none" w:sz="0" w:space="0" w:color="auto"/>
            <w:right w:val="none" w:sz="0" w:space="0" w:color="auto"/>
          </w:divBdr>
          <w:divsChild>
            <w:div w:id="1010846">
              <w:marLeft w:val="0"/>
              <w:marRight w:val="0"/>
              <w:marTop w:val="120"/>
              <w:marBottom w:val="0"/>
              <w:divBdr>
                <w:top w:val="none" w:sz="0" w:space="0" w:color="auto"/>
                <w:left w:val="none" w:sz="0" w:space="0" w:color="auto"/>
                <w:bottom w:val="single" w:sz="24" w:space="0" w:color="E3F3B4"/>
                <w:right w:val="none" w:sz="0" w:space="0" w:color="auto"/>
              </w:divBdr>
              <w:divsChild>
                <w:div w:id="101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49">
      <w:marLeft w:val="0"/>
      <w:marRight w:val="0"/>
      <w:marTop w:val="0"/>
      <w:marBottom w:val="0"/>
      <w:divBdr>
        <w:top w:val="none" w:sz="0" w:space="0" w:color="auto"/>
        <w:left w:val="none" w:sz="0" w:space="0" w:color="auto"/>
        <w:bottom w:val="none" w:sz="0" w:space="0" w:color="auto"/>
        <w:right w:val="none" w:sz="0" w:space="0" w:color="auto"/>
      </w:divBdr>
      <w:divsChild>
        <w:div w:id="1010850">
          <w:marLeft w:val="0"/>
          <w:marRight w:val="0"/>
          <w:marTop w:val="0"/>
          <w:marBottom w:val="0"/>
          <w:divBdr>
            <w:top w:val="none" w:sz="0" w:space="0" w:color="auto"/>
            <w:left w:val="none" w:sz="0" w:space="0" w:color="auto"/>
            <w:bottom w:val="none" w:sz="0" w:space="0" w:color="auto"/>
            <w:right w:val="none" w:sz="0" w:space="0" w:color="auto"/>
          </w:divBdr>
          <w:divsChild>
            <w:div w:id="1010868">
              <w:marLeft w:val="0"/>
              <w:marRight w:val="0"/>
              <w:marTop w:val="120"/>
              <w:marBottom w:val="0"/>
              <w:divBdr>
                <w:top w:val="none" w:sz="0" w:space="0" w:color="auto"/>
                <w:left w:val="none" w:sz="0" w:space="0" w:color="auto"/>
                <w:bottom w:val="single" w:sz="24" w:space="0" w:color="E3F3B4"/>
                <w:right w:val="none" w:sz="0" w:space="0" w:color="auto"/>
              </w:divBdr>
              <w:divsChild>
                <w:div w:id="101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52">
      <w:marLeft w:val="0"/>
      <w:marRight w:val="0"/>
      <w:marTop w:val="0"/>
      <w:marBottom w:val="0"/>
      <w:divBdr>
        <w:top w:val="none" w:sz="0" w:space="0" w:color="auto"/>
        <w:left w:val="none" w:sz="0" w:space="0" w:color="auto"/>
        <w:bottom w:val="none" w:sz="0" w:space="0" w:color="auto"/>
        <w:right w:val="none" w:sz="0" w:space="0" w:color="auto"/>
      </w:divBdr>
      <w:divsChild>
        <w:div w:id="1010858">
          <w:marLeft w:val="0"/>
          <w:marRight w:val="0"/>
          <w:marTop w:val="0"/>
          <w:marBottom w:val="0"/>
          <w:divBdr>
            <w:top w:val="none" w:sz="0" w:space="0" w:color="auto"/>
            <w:left w:val="none" w:sz="0" w:space="0" w:color="auto"/>
            <w:bottom w:val="none" w:sz="0" w:space="0" w:color="auto"/>
            <w:right w:val="none" w:sz="0" w:space="0" w:color="auto"/>
          </w:divBdr>
          <w:divsChild>
            <w:div w:id="1010856">
              <w:marLeft w:val="0"/>
              <w:marRight w:val="0"/>
              <w:marTop w:val="120"/>
              <w:marBottom w:val="0"/>
              <w:divBdr>
                <w:top w:val="none" w:sz="0" w:space="0" w:color="auto"/>
                <w:left w:val="none" w:sz="0" w:space="0" w:color="auto"/>
                <w:bottom w:val="single" w:sz="24" w:space="0" w:color="E3F3B4"/>
                <w:right w:val="none" w:sz="0" w:space="0" w:color="auto"/>
              </w:divBdr>
              <w:divsChild>
                <w:div w:id="101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54">
      <w:marLeft w:val="0"/>
      <w:marRight w:val="0"/>
      <w:marTop w:val="0"/>
      <w:marBottom w:val="0"/>
      <w:divBdr>
        <w:top w:val="none" w:sz="0" w:space="0" w:color="auto"/>
        <w:left w:val="none" w:sz="0" w:space="0" w:color="auto"/>
        <w:bottom w:val="none" w:sz="0" w:space="0" w:color="auto"/>
        <w:right w:val="none" w:sz="0" w:space="0" w:color="auto"/>
      </w:divBdr>
      <w:divsChild>
        <w:div w:id="1010848">
          <w:marLeft w:val="0"/>
          <w:marRight w:val="0"/>
          <w:marTop w:val="0"/>
          <w:marBottom w:val="0"/>
          <w:divBdr>
            <w:top w:val="none" w:sz="0" w:space="0" w:color="auto"/>
            <w:left w:val="none" w:sz="0" w:space="0" w:color="auto"/>
            <w:bottom w:val="none" w:sz="0" w:space="0" w:color="auto"/>
            <w:right w:val="none" w:sz="0" w:space="0" w:color="auto"/>
          </w:divBdr>
          <w:divsChild>
            <w:div w:id="1010869">
              <w:marLeft w:val="0"/>
              <w:marRight w:val="0"/>
              <w:marTop w:val="120"/>
              <w:marBottom w:val="0"/>
              <w:divBdr>
                <w:top w:val="none" w:sz="0" w:space="0" w:color="auto"/>
                <w:left w:val="none" w:sz="0" w:space="0" w:color="auto"/>
                <w:bottom w:val="single" w:sz="24" w:space="0" w:color="E3F3B4"/>
                <w:right w:val="none" w:sz="0" w:space="0" w:color="auto"/>
              </w:divBdr>
              <w:divsChild>
                <w:div w:id="101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62">
      <w:marLeft w:val="0"/>
      <w:marRight w:val="0"/>
      <w:marTop w:val="0"/>
      <w:marBottom w:val="0"/>
      <w:divBdr>
        <w:top w:val="none" w:sz="0" w:space="0" w:color="auto"/>
        <w:left w:val="none" w:sz="0" w:space="0" w:color="auto"/>
        <w:bottom w:val="none" w:sz="0" w:space="0" w:color="auto"/>
        <w:right w:val="none" w:sz="0" w:space="0" w:color="auto"/>
      </w:divBdr>
      <w:divsChild>
        <w:div w:id="1010863">
          <w:marLeft w:val="0"/>
          <w:marRight w:val="0"/>
          <w:marTop w:val="0"/>
          <w:marBottom w:val="0"/>
          <w:divBdr>
            <w:top w:val="none" w:sz="0" w:space="0" w:color="auto"/>
            <w:left w:val="none" w:sz="0" w:space="0" w:color="auto"/>
            <w:bottom w:val="none" w:sz="0" w:space="0" w:color="auto"/>
            <w:right w:val="none" w:sz="0" w:space="0" w:color="auto"/>
          </w:divBdr>
          <w:divsChild>
            <w:div w:id="1010866">
              <w:marLeft w:val="0"/>
              <w:marRight w:val="0"/>
              <w:marTop w:val="120"/>
              <w:marBottom w:val="0"/>
              <w:divBdr>
                <w:top w:val="none" w:sz="0" w:space="0" w:color="auto"/>
                <w:left w:val="none" w:sz="0" w:space="0" w:color="auto"/>
                <w:bottom w:val="single" w:sz="24" w:space="0" w:color="E3F3B4"/>
                <w:right w:val="none" w:sz="0" w:space="0" w:color="auto"/>
              </w:divBdr>
              <w:divsChild>
                <w:div w:id="10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40854">
      <w:bodyDiv w:val="1"/>
      <w:marLeft w:val="0"/>
      <w:marRight w:val="0"/>
      <w:marTop w:val="0"/>
      <w:marBottom w:val="0"/>
      <w:divBdr>
        <w:top w:val="none" w:sz="0" w:space="0" w:color="auto"/>
        <w:left w:val="none" w:sz="0" w:space="0" w:color="auto"/>
        <w:bottom w:val="none" w:sz="0" w:space="0" w:color="auto"/>
        <w:right w:val="none" w:sz="0" w:space="0" w:color="auto"/>
      </w:divBdr>
    </w:div>
    <w:div w:id="172695654">
      <w:bodyDiv w:val="1"/>
      <w:marLeft w:val="0"/>
      <w:marRight w:val="0"/>
      <w:marTop w:val="0"/>
      <w:marBottom w:val="0"/>
      <w:divBdr>
        <w:top w:val="none" w:sz="0" w:space="0" w:color="auto"/>
        <w:left w:val="none" w:sz="0" w:space="0" w:color="auto"/>
        <w:bottom w:val="none" w:sz="0" w:space="0" w:color="auto"/>
        <w:right w:val="none" w:sz="0" w:space="0" w:color="auto"/>
      </w:divBdr>
      <w:divsChild>
        <w:div w:id="1079182190">
          <w:marLeft w:val="0"/>
          <w:marRight w:val="0"/>
          <w:marTop w:val="0"/>
          <w:marBottom w:val="0"/>
          <w:divBdr>
            <w:top w:val="none" w:sz="0" w:space="0" w:color="auto"/>
            <w:left w:val="none" w:sz="0" w:space="0" w:color="auto"/>
            <w:bottom w:val="none" w:sz="0" w:space="0" w:color="auto"/>
            <w:right w:val="none" w:sz="0" w:space="0" w:color="auto"/>
          </w:divBdr>
          <w:divsChild>
            <w:div w:id="568275569">
              <w:marLeft w:val="0"/>
              <w:marRight w:val="0"/>
              <w:marTop w:val="120"/>
              <w:marBottom w:val="0"/>
              <w:divBdr>
                <w:top w:val="none" w:sz="0" w:space="0" w:color="auto"/>
                <w:left w:val="none" w:sz="0" w:space="0" w:color="auto"/>
                <w:bottom w:val="single" w:sz="24" w:space="0" w:color="E3F3B4"/>
                <w:right w:val="none" w:sz="0" w:space="0" w:color="auto"/>
              </w:divBdr>
              <w:divsChild>
                <w:div w:id="6345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958292">
      <w:bodyDiv w:val="1"/>
      <w:marLeft w:val="0"/>
      <w:marRight w:val="0"/>
      <w:marTop w:val="0"/>
      <w:marBottom w:val="0"/>
      <w:divBdr>
        <w:top w:val="none" w:sz="0" w:space="0" w:color="auto"/>
        <w:left w:val="none" w:sz="0" w:space="0" w:color="auto"/>
        <w:bottom w:val="none" w:sz="0" w:space="0" w:color="auto"/>
        <w:right w:val="none" w:sz="0" w:space="0" w:color="auto"/>
      </w:divBdr>
      <w:divsChild>
        <w:div w:id="2069299944">
          <w:marLeft w:val="0"/>
          <w:marRight w:val="0"/>
          <w:marTop w:val="0"/>
          <w:marBottom w:val="0"/>
          <w:divBdr>
            <w:top w:val="none" w:sz="0" w:space="0" w:color="auto"/>
            <w:left w:val="none" w:sz="0" w:space="0" w:color="auto"/>
            <w:bottom w:val="none" w:sz="0" w:space="0" w:color="auto"/>
            <w:right w:val="none" w:sz="0" w:space="0" w:color="auto"/>
          </w:divBdr>
          <w:divsChild>
            <w:div w:id="1925333600">
              <w:marLeft w:val="0"/>
              <w:marRight w:val="0"/>
              <w:marTop w:val="120"/>
              <w:marBottom w:val="0"/>
              <w:divBdr>
                <w:top w:val="none" w:sz="0" w:space="0" w:color="auto"/>
                <w:left w:val="none" w:sz="0" w:space="0" w:color="auto"/>
                <w:bottom w:val="single" w:sz="24" w:space="0" w:color="E3F3B4"/>
                <w:right w:val="none" w:sz="0" w:space="0" w:color="auto"/>
              </w:divBdr>
              <w:divsChild>
                <w:div w:id="36182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035809">
      <w:bodyDiv w:val="1"/>
      <w:marLeft w:val="0"/>
      <w:marRight w:val="0"/>
      <w:marTop w:val="0"/>
      <w:marBottom w:val="0"/>
      <w:divBdr>
        <w:top w:val="none" w:sz="0" w:space="0" w:color="auto"/>
        <w:left w:val="none" w:sz="0" w:space="0" w:color="auto"/>
        <w:bottom w:val="none" w:sz="0" w:space="0" w:color="auto"/>
        <w:right w:val="none" w:sz="0" w:space="0" w:color="auto"/>
      </w:divBdr>
      <w:divsChild>
        <w:div w:id="84349677">
          <w:marLeft w:val="0"/>
          <w:marRight w:val="0"/>
          <w:marTop w:val="0"/>
          <w:marBottom w:val="0"/>
          <w:divBdr>
            <w:top w:val="none" w:sz="0" w:space="0" w:color="auto"/>
            <w:left w:val="none" w:sz="0" w:space="0" w:color="auto"/>
            <w:bottom w:val="none" w:sz="0" w:space="0" w:color="auto"/>
            <w:right w:val="none" w:sz="0" w:space="0" w:color="auto"/>
          </w:divBdr>
          <w:divsChild>
            <w:div w:id="622618248">
              <w:marLeft w:val="0"/>
              <w:marRight w:val="0"/>
              <w:marTop w:val="120"/>
              <w:marBottom w:val="0"/>
              <w:divBdr>
                <w:top w:val="none" w:sz="0" w:space="0" w:color="auto"/>
                <w:left w:val="none" w:sz="0" w:space="0" w:color="auto"/>
                <w:bottom w:val="single" w:sz="24" w:space="0" w:color="E3F3B4"/>
                <w:right w:val="none" w:sz="0" w:space="0" w:color="auto"/>
              </w:divBdr>
              <w:divsChild>
                <w:div w:id="95428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059266">
      <w:bodyDiv w:val="1"/>
      <w:marLeft w:val="0"/>
      <w:marRight w:val="0"/>
      <w:marTop w:val="0"/>
      <w:marBottom w:val="0"/>
      <w:divBdr>
        <w:top w:val="none" w:sz="0" w:space="0" w:color="auto"/>
        <w:left w:val="none" w:sz="0" w:space="0" w:color="auto"/>
        <w:bottom w:val="none" w:sz="0" w:space="0" w:color="auto"/>
        <w:right w:val="none" w:sz="0" w:space="0" w:color="auto"/>
      </w:divBdr>
      <w:divsChild>
        <w:div w:id="930505336">
          <w:marLeft w:val="0"/>
          <w:marRight w:val="0"/>
          <w:marTop w:val="0"/>
          <w:marBottom w:val="0"/>
          <w:divBdr>
            <w:top w:val="none" w:sz="0" w:space="0" w:color="auto"/>
            <w:left w:val="none" w:sz="0" w:space="0" w:color="auto"/>
            <w:bottom w:val="none" w:sz="0" w:space="0" w:color="auto"/>
            <w:right w:val="none" w:sz="0" w:space="0" w:color="auto"/>
          </w:divBdr>
          <w:divsChild>
            <w:div w:id="102043524">
              <w:marLeft w:val="0"/>
              <w:marRight w:val="0"/>
              <w:marTop w:val="120"/>
              <w:marBottom w:val="0"/>
              <w:divBdr>
                <w:top w:val="none" w:sz="0" w:space="0" w:color="auto"/>
                <w:left w:val="none" w:sz="0" w:space="0" w:color="auto"/>
                <w:bottom w:val="single" w:sz="24" w:space="0" w:color="E3F3B4"/>
                <w:right w:val="none" w:sz="0" w:space="0" w:color="auto"/>
              </w:divBdr>
              <w:divsChild>
                <w:div w:id="96299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722662">
      <w:bodyDiv w:val="1"/>
      <w:marLeft w:val="0"/>
      <w:marRight w:val="0"/>
      <w:marTop w:val="0"/>
      <w:marBottom w:val="0"/>
      <w:divBdr>
        <w:top w:val="none" w:sz="0" w:space="0" w:color="auto"/>
        <w:left w:val="none" w:sz="0" w:space="0" w:color="auto"/>
        <w:bottom w:val="none" w:sz="0" w:space="0" w:color="auto"/>
        <w:right w:val="none" w:sz="0" w:space="0" w:color="auto"/>
      </w:divBdr>
    </w:div>
    <w:div w:id="849678791">
      <w:bodyDiv w:val="1"/>
      <w:marLeft w:val="0"/>
      <w:marRight w:val="0"/>
      <w:marTop w:val="0"/>
      <w:marBottom w:val="0"/>
      <w:divBdr>
        <w:top w:val="none" w:sz="0" w:space="0" w:color="auto"/>
        <w:left w:val="none" w:sz="0" w:space="0" w:color="auto"/>
        <w:bottom w:val="none" w:sz="0" w:space="0" w:color="auto"/>
        <w:right w:val="none" w:sz="0" w:space="0" w:color="auto"/>
      </w:divBdr>
    </w:div>
    <w:div w:id="948853655">
      <w:bodyDiv w:val="1"/>
      <w:marLeft w:val="0"/>
      <w:marRight w:val="0"/>
      <w:marTop w:val="0"/>
      <w:marBottom w:val="0"/>
      <w:divBdr>
        <w:top w:val="none" w:sz="0" w:space="0" w:color="auto"/>
        <w:left w:val="none" w:sz="0" w:space="0" w:color="auto"/>
        <w:bottom w:val="none" w:sz="0" w:space="0" w:color="auto"/>
        <w:right w:val="none" w:sz="0" w:space="0" w:color="auto"/>
      </w:divBdr>
      <w:divsChild>
        <w:div w:id="653222890">
          <w:marLeft w:val="0"/>
          <w:marRight w:val="0"/>
          <w:marTop w:val="0"/>
          <w:marBottom w:val="0"/>
          <w:divBdr>
            <w:top w:val="none" w:sz="0" w:space="0" w:color="auto"/>
            <w:left w:val="none" w:sz="0" w:space="0" w:color="auto"/>
            <w:bottom w:val="none" w:sz="0" w:space="0" w:color="auto"/>
            <w:right w:val="none" w:sz="0" w:space="0" w:color="auto"/>
          </w:divBdr>
          <w:divsChild>
            <w:div w:id="1760061341">
              <w:marLeft w:val="0"/>
              <w:marRight w:val="0"/>
              <w:marTop w:val="120"/>
              <w:marBottom w:val="0"/>
              <w:divBdr>
                <w:top w:val="none" w:sz="0" w:space="0" w:color="auto"/>
                <w:left w:val="none" w:sz="0" w:space="0" w:color="auto"/>
                <w:bottom w:val="single" w:sz="24" w:space="0" w:color="E3F3B4"/>
                <w:right w:val="none" w:sz="0" w:space="0" w:color="auto"/>
              </w:divBdr>
              <w:divsChild>
                <w:div w:id="155465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180136">
      <w:bodyDiv w:val="1"/>
      <w:marLeft w:val="0"/>
      <w:marRight w:val="0"/>
      <w:marTop w:val="0"/>
      <w:marBottom w:val="0"/>
      <w:divBdr>
        <w:top w:val="none" w:sz="0" w:space="0" w:color="auto"/>
        <w:left w:val="none" w:sz="0" w:space="0" w:color="auto"/>
        <w:bottom w:val="none" w:sz="0" w:space="0" w:color="auto"/>
        <w:right w:val="none" w:sz="0" w:space="0" w:color="auto"/>
      </w:divBdr>
    </w:div>
    <w:div w:id="1460610004">
      <w:bodyDiv w:val="1"/>
      <w:marLeft w:val="0"/>
      <w:marRight w:val="0"/>
      <w:marTop w:val="0"/>
      <w:marBottom w:val="0"/>
      <w:divBdr>
        <w:top w:val="none" w:sz="0" w:space="0" w:color="auto"/>
        <w:left w:val="none" w:sz="0" w:space="0" w:color="auto"/>
        <w:bottom w:val="none" w:sz="0" w:space="0" w:color="auto"/>
        <w:right w:val="none" w:sz="0" w:space="0" w:color="auto"/>
      </w:divBdr>
    </w:div>
    <w:div w:id="1621035265">
      <w:bodyDiv w:val="1"/>
      <w:marLeft w:val="0"/>
      <w:marRight w:val="0"/>
      <w:marTop w:val="0"/>
      <w:marBottom w:val="0"/>
      <w:divBdr>
        <w:top w:val="none" w:sz="0" w:space="0" w:color="auto"/>
        <w:left w:val="none" w:sz="0" w:space="0" w:color="auto"/>
        <w:bottom w:val="none" w:sz="0" w:space="0" w:color="auto"/>
        <w:right w:val="none" w:sz="0" w:space="0" w:color="auto"/>
      </w:divBdr>
    </w:div>
    <w:div w:id="2012488907">
      <w:bodyDiv w:val="1"/>
      <w:marLeft w:val="0"/>
      <w:marRight w:val="0"/>
      <w:marTop w:val="0"/>
      <w:marBottom w:val="0"/>
      <w:divBdr>
        <w:top w:val="none" w:sz="0" w:space="0" w:color="auto"/>
        <w:left w:val="none" w:sz="0" w:space="0" w:color="auto"/>
        <w:bottom w:val="none" w:sz="0" w:space="0" w:color="auto"/>
        <w:right w:val="none" w:sz="0" w:space="0" w:color="auto"/>
      </w:divBdr>
      <w:divsChild>
        <w:div w:id="963317621">
          <w:marLeft w:val="0"/>
          <w:marRight w:val="0"/>
          <w:marTop w:val="0"/>
          <w:marBottom w:val="0"/>
          <w:divBdr>
            <w:top w:val="none" w:sz="0" w:space="0" w:color="auto"/>
            <w:left w:val="none" w:sz="0" w:space="0" w:color="auto"/>
            <w:bottom w:val="none" w:sz="0" w:space="0" w:color="auto"/>
            <w:right w:val="none" w:sz="0" w:space="0" w:color="auto"/>
          </w:divBdr>
          <w:divsChild>
            <w:div w:id="187111714">
              <w:marLeft w:val="0"/>
              <w:marRight w:val="0"/>
              <w:marTop w:val="120"/>
              <w:marBottom w:val="0"/>
              <w:divBdr>
                <w:top w:val="none" w:sz="0" w:space="0" w:color="auto"/>
                <w:left w:val="none" w:sz="0" w:space="0" w:color="auto"/>
                <w:bottom w:val="single" w:sz="24" w:space="0" w:color="E3F3B4"/>
                <w:right w:val="none" w:sz="0" w:space="0" w:color="auto"/>
              </w:divBdr>
              <w:divsChild>
                <w:div w:id="163414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ema/index.jsp?curl=pages/news_and_events/news/2015/05/news_detail_002337.jsp&amp;mid=WC0b01ac058004d5c1"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r.fda.gov.t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Desktop\&#34277;&#21697;&#23433;&#20840;&#36039;&#35338;&#39080;&#38570;&#28317;&#36890;&#34920;final&#2925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41FA0-9232-4B17-93A8-23CE11C9A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藥品安全資訊風險溝通表final版</Template>
  <TotalTime>0</TotalTime>
  <Pages>2</Pages>
  <Words>1093</Words>
  <Characters>822</Characters>
  <Application>Microsoft Office Word</Application>
  <DocSecurity>0</DocSecurity>
  <Lines>6</Lines>
  <Paragraphs>3</Paragraphs>
  <ScaleCrop>false</ScaleCrop>
  <Company/>
  <LinksUpToDate>false</LinksUpToDate>
  <CharactersWithSpaces>1912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Magnesium Sulfate藥品安全資訊彙整表</dc:title>
  <dc:creator>USER</dc:creator>
  <cp:lastModifiedBy>user</cp:lastModifiedBy>
  <cp:revision>2</cp:revision>
  <cp:lastPrinted>2015-06-22T07:38:00Z</cp:lastPrinted>
  <dcterms:created xsi:type="dcterms:W3CDTF">2015-06-22T07:38:00Z</dcterms:created>
  <dcterms:modified xsi:type="dcterms:W3CDTF">2015-06-22T07:38:00Z</dcterms:modified>
</cp:coreProperties>
</file>