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B9" w:rsidRDefault="007D1034" w:rsidP="00667162">
      <w:pPr>
        <w:jc w:val="center"/>
        <w:rPr>
          <w:rFonts w:ascii="標楷體" w:eastAsia="標楷體" w:hAnsi="標楷體"/>
          <w:b/>
          <w:sz w:val="36"/>
          <w:szCs w:val="36"/>
        </w:rPr>
      </w:pPr>
      <w:r w:rsidRPr="002838CE">
        <w:rPr>
          <w:rFonts w:ascii="標楷體" w:eastAsia="標楷體" w:hAnsi="標楷體" w:hint="eastAsia"/>
          <w:b/>
          <w:bCs/>
          <w:sz w:val="36"/>
          <w:szCs w:val="36"/>
        </w:rPr>
        <w:t>藥品查驗登記審查準則</w:t>
      </w:r>
      <w:r w:rsidRPr="00082F01">
        <w:rPr>
          <w:rFonts w:ascii="標楷體" w:eastAsia="標楷體" w:hAnsi="標楷體" w:hint="eastAsia"/>
          <w:b/>
          <w:sz w:val="36"/>
          <w:szCs w:val="36"/>
        </w:rPr>
        <w:t>第四十六條</w:t>
      </w:r>
    </w:p>
    <w:p w:rsidR="007D1034" w:rsidRDefault="007D1034">
      <w:pPr>
        <w:rPr>
          <w:rFonts w:ascii="標楷體" w:eastAsia="標楷體" w:hAnsi="標楷體"/>
          <w:b/>
          <w:sz w:val="36"/>
          <w:szCs w:val="36"/>
        </w:rPr>
      </w:pPr>
    </w:p>
    <w:p w:rsidR="007D1034" w:rsidRPr="007D1034" w:rsidRDefault="007D1034" w:rsidP="00093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第四十六條 </w:t>
      </w:r>
      <w:r w:rsidR="00093B5C" w:rsidRPr="00093B5C">
        <w:rPr>
          <w:rFonts w:ascii="標楷體" w:eastAsia="標楷體" w:hAnsi="標楷體" w:cs="Courier New" w:hint="eastAsia"/>
          <w:snapToGrid w:val="0"/>
          <w:kern w:val="0"/>
          <w:sz w:val="28"/>
          <w:szCs w:val="28"/>
        </w:rPr>
        <w:t>申請變更登記之藥品，如其查驗登記時已執行生體可用率及生體相等性試驗者，其後辦理變更登記之規定如下：</w:t>
      </w:r>
    </w:p>
    <w:p w:rsidR="007D1034" w:rsidRPr="007D1034" w:rsidRDefault="007D1034" w:rsidP="00093B5C">
      <w:pPr>
        <w:widowControl/>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一、主要改變及次要改變之定義，依中央衛生主管機關公告事項規定認定之。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w:t>
      </w:r>
      <w:r w:rsidR="00093B5C">
        <w:rPr>
          <w:rFonts w:ascii="標楷體" w:eastAsia="標楷體" w:hAnsi="標楷體" w:cs="Courier New" w:hint="eastAsia"/>
          <w:snapToGrid w:val="0"/>
          <w:kern w:val="0"/>
          <w:sz w:val="28"/>
          <w:szCs w:val="28"/>
        </w:rPr>
        <w:t>二、</w:t>
      </w:r>
      <w:r w:rsidRPr="007D1034">
        <w:rPr>
          <w:rFonts w:ascii="標楷體" w:eastAsia="標楷體" w:hAnsi="標楷體" w:cs="Courier New" w:hint="eastAsia"/>
          <w:snapToGrid w:val="0"/>
          <w:kern w:val="0"/>
          <w:sz w:val="28"/>
          <w:szCs w:val="28"/>
        </w:rPr>
        <w:t>製劑如涉及製造變更者，應檢附資料如下：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(一)屬主要改變者，應檢附生體相等性試驗報告。</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(二)屬次要改變者，應檢附溶離率曲線比對報告。</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792" w:hangingChars="282" w:hanging="790"/>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三、製劑如涉及製造場所變更者，應檢附資料如下：</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(一)配方與製程比對，包括原料來源、規格及製造設備。</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296" w:hangingChars="105" w:hanging="294"/>
        <w:rPr>
          <w:rFonts w:ascii="標楷體" w:eastAsia="標楷體" w:hAnsi="標楷體" w:cs="Courier New"/>
          <w:snapToGrid w:val="0"/>
          <w:kern w:val="0"/>
          <w:sz w:val="28"/>
          <w:szCs w:val="28"/>
        </w:rPr>
      </w:pPr>
      <w:r w:rsidRPr="007D1034">
        <w:rPr>
          <w:rFonts w:ascii="標楷體" w:eastAsia="標楷體" w:hAnsi="標楷體" w:cs="Courier New"/>
          <w:snapToGrid w:val="0"/>
          <w:kern w:val="0"/>
          <w:sz w:val="28"/>
          <w:szCs w:val="28"/>
        </w:rPr>
        <w:t xml:space="preserve">  (</w:t>
      </w:r>
      <w:r w:rsidRPr="007D1034">
        <w:rPr>
          <w:rFonts w:ascii="標楷體" w:eastAsia="標楷體" w:hAnsi="標楷體" w:cs="Courier New" w:hint="eastAsia"/>
          <w:snapToGrid w:val="0"/>
          <w:kern w:val="0"/>
          <w:sz w:val="28"/>
          <w:szCs w:val="28"/>
        </w:rPr>
        <w:t>二</w:t>
      </w:r>
      <w:r w:rsidRPr="007D1034">
        <w:rPr>
          <w:rFonts w:ascii="標楷體" w:eastAsia="標楷體" w:hAnsi="標楷體" w:cs="Courier New"/>
          <w:snapToGrid w:val="0"/>
          <w:kern w:val="0"/>
          <w:sz w:val="28"/>
          <w:szCs w:val="28"/>
        </w:rPr>
        <w:t>)</w:t>
      </w:r>
      <w:r w:rsidRPr="007D1034">
        <w:rPr>
          <w:rFonts w:ascii="標楷體" w:eastAsia="標楷體" w:hAnsi="標楷體" w:cs="Courier New" w:hint="eastAsia"/>
          <w:snapToGrid w:val="0"/>
          <w:kern w:val="0"/>
          <w:sz w:val="28"/>
          <w:szCs w:val="28"/>
        </w:rPr>
        <w:t>溶離率曲線比對資料。</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(三)如經判定屬主要改變或資料不足者，應另檢送生體相等性試驗報告。</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四、申請變更之藥品，如涉及配方與製程之多</w:t>
      </w:r>
      <w:r>
        <w:rPr>
          <w:rFonts w:ascii="標楷體" w:eastAsia="標楷體" w:hAnsi="標楷體" w:cs="Courier New" w:hint="eastAsia"/>
          <w:snapToGrid w:val="0"/>
          <w:kern w:val="0"/>
          <w:sz w:val="28"/>
          <w:szCs w:val="28"/>
        </w:rPr>
        <w:t>重改變者，依其各</w:t>
      </w:r>
      <w:r w:rsidR="00093B5C">
        <w:rPr>
          <w:rFonts w:ascii="標楷體" w:eastAsia="標楷體" w:hAnsi="標楷體" w:cs="Courier New" w:hint="eastAsia"/>
          <w:snapToGrid w:val="0"/>
          <w:kern w:val="0"/>
          <w:sz w:val="28"/>
          <w:szCs w:val="28"/>
        </w:rPr>
        <w:t>別</w:t>
      </w:r>
      <w:r w:rsidRPr="007D1034">
        <w:rPr>
          <w:rFonts w:ascii="標楷體" w:eastAsia="標楷體" w:hAnsi="標楷體" w:cs="Courier New" w:hint="eastAsia"/>
          <w:snapToGrid w:val="0"/>
          <w:kern w:val="0"/>
          <w:sz w:val="28"/>
          <w:szCs w:val="28"/>
        </w:rPr>
        <w:t>之變更範圍辦理。</w:t>
      </w:r>
    </w:p>
    <w:p w:rsidR="007D1034" w:rsidRPr="007D1034" w:rsidRDefault="007D1034" w:rsidP="007D10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 w:left="850" w:hangingChars="303" w:hanging="848"/>
        <w:rPr>
          <w:rFonts w:ascii="標楷體" w:eastAsia="標楷體" w:hAnsi="標楷體" w:cs="Courier New"/>
          <w:snapToGrid w:val="0"/>
          <w:kern w:val="0"/>
          <w:sz w:val="28"/>
          <w:szCs w:val="28"/>
        </w:rPr>
      </w:pPr>
      <w:r w:rsidRPr="007D1034">
        <w:rPr>
          <w:rFonts w:ascii="標楷體" w:eastAsia="標楷體" w:hAnsi="標楷體" w:cs="Courier New"/>
          <w:snapToGrid w:val="0"/>
          <w:kern w:val="0"/>
          <w:sz w:val="28"/>
          <w:szCs w:val="28"/>
        </w:rPr>
        <w:t xml:space="preserve">  </w:t>
      </w:r>
      <w:r w:rsidRPr="007D1034">
        <w:rPr>
          <w:rFonts w:ascii="標楷體" w:eastAsia="標楷體" w:hAnsi="標楷體" w:cs="Courier New" w:hint="eastAsia"/>
          <w:snapToGrid w:val="0"/>
          <w:kern w:val="0"/>
          <w:sz w:val="28"/>
          <w:szCs w:val="28"/>
        </w:rPr>
        <w:t>五、所有生體相等性試驗，均得以生體可用率連同臨床試驗報告替代之。</w:t>
      </w:r>
    </w:p>
    <w:p w:rsidR="007D1034" w:rsidRPr="007D1034" w:rsidRDefault="007D1034" w:rsidP="00093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118" w:left="849" w:hangingChars="202" w:hanging="566"/>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六、執行之生體可用率及生體相等性試驗，應符合藥品生體可用率及生體相等性試驗基準之規定。</w:t>
      </w:r>
      <w:bookmarkStart w:id="0" w:name="_GoBack"/>
      <w:bookmarkEnd w:id="0"/>
    </w:p>
    <w:p w:rsidR="007D1034" w:rsidRPr="007D1034" w:rsidRDefault="007D1034" w:rsidP="00667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283" w:hangingChars="101" w:hanging="283"/>
        <w:rPr>
          <w:rFonts w:ascii="標楷體" w:eastAsia="標楷體" w:hAnsi="標楷體" w:cs="Courier New"/>
          <w:snapToGrid w:val="0"/>
          <w:kern w:val="0"/>
          <w:sz w:val="28"/>
          <w:szCs w:val="28"/>
        </w:rPr>
      </w:pPr>
      <w:r w:rsidRPr="007D1034">
        <w:rPr>
          <w:rFonts w:ascii="標楷體" w:eastAsia="標楷體" w:hAnsi="標楷體" w:cs="Courier New" w:hint="eastAsia"/>
          <w:snapToGrid w:val="0"/>
          <w:kern w:val="0"/>
          <w:sz w:val="28"/>
          <w:szCs w:val="28"/>
        </w:rPr>
        <w:t xml:space="preserve">      已核准上市之藥品</w:t>
      </w:r>
      <w:r w:rsidRPr="007D1034">
        <w:rPr>
          <w:rFonts w:ascii="新細明體" w:eastAsia="新細明體" w:hAnsi="新細明體" w:cs="Courier New" w:hint="eastAsia"/>
          <w:snapToGrid w:val="0"/>
          <w:kern w:val="0"/>
          <w:sz w:val="28"/>
          <w:szCs w:val="28"/>
        </w:rPr>
        <w:t>，</w:t>
      </w:r>
      <w:r w:rsidRPr="007D1034">
        <w:rPr>
          <w:rFonts w:ascii="標楷體" w:eastAsia="標楷體" w:hAnsi="標楷體" w:cs="Courier New" w:hint="eastAsia"/>
          <w:snapToGrid w:val="0"/>
          <w:kern w:val="0"/>
          <w:sz w:val="28"/>
          <w:szCs w:val="28"/>
        </w:rPr>
        <w:t>廠商自行申請執行生體相等性試驗並其報告經中央衛生主管機關審核通過，如其後涉及製造與其場所之變更者，準用前項規定。</w:t>
      </w:r>
    </w:p>
    <w:sectPr w:rsidR="007D1034" w:rsidRPr="007D1034" w:rsidSect="004665B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6E4" w:rsidRDefault="00AC26E4" w:rsidP="00AC26E4">
      <w:r>
        <w:separator/>
      </w:r>
    </w:p>
  </w:endnote>
  <w:endnote w:type="continuationSeparator" w:id="1">
    <w:p w:rsidR="00AC26E4" w:rsidRDefault="00AC26E4" w:rsidP="00AC26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6E4" w:rsidRDefault="00AC26E4" w:rsidP="00AC26E4">
      <w:r>
        <w:separator/>
      </w:r>
    </w:p>
  </w:footnote>
  <w:footnote w:type="continuationSeparator" w:id="1">
    <w:p w:rsidR="00AC26E4" w:rsidRDefault="00AC26E4" w:rsidP="00AC2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034"/>
    <w:rsid w:val="00093B5C"/>
    <w:rsid w:val="004665B1"/>
    <w:rsid w:val="00667162"/>
    <w:rsid w:val="007D1034"/>
    <w:rsid w:val="00AC26E4"/>
    <w:rsid w:val="00F34AC1"/>
    <w:rsid w:val="00F718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5B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C26E4"/>
    <w:pPr>
      <w:tabs>
        <w:tab w:val="center" w:pos="4153"/>
        <w:tab w:val="right" w:pos="8306"/>
      </w:tabs>
      <w:snapToGrid w:val="0"/>
    </w:pPr>
    <w:rPr>
      <w:sz w:val="20"/>
      <w:szCs w:val="20"/>
    </w:rPr>
  </w:style>
  <w:style w:type="character" w:customStyle="1" w:styleId="a4">
    <w:name w:val="頁首 字元"/>
    <w:basedOn w:val="a0"/>
    <w:link w:val="a3"/>
    <w:uiPriority w:val="99"/>
    <w:semiHidden/>
    <w:rsid w:val="00AC26E4"/>
    <w:rPr>
      <w:sz w:val="20"/>
      <w:szCs w:val="20"/>
    </w:rPr>
  </w:style>
  <w:style w:type="paragraph" w:styleId="a5">
    <w:name w:val="footer"/>
    <w:basedOn w:val="a"/>
    <w:link w:val="a6"/>
    <w:uiPriority w:val="99"/>
    <w:semiHidden/>
    <w:unhideWhenUsed/>
    <w:rsid w:val="00AC26E4"/>
    <w:pPr>
      <w:tabs>
        <w:tab w:val="center" w:pos="4153"/>
        <w:tab w:val="right" w:pos="8306"/>
      </w:tabs>
      <w:snapToGrid w:val="0"/>
    </w:pPr>
    <w:rPr>
      <w:sz w:val="20"/>
      <w:szCs w:val="20"/>
    </w:rPr>
  </w:style>
  <w:style w:type="character" w:customStyle="1" w:styleId="a6">
    <w:name w:val="頁尾 字元"/>
    <w:basedOn w:val="a0"/>
    <w:link w:val="a5"/>
    <w:uiPriority w:val="99"/>
    <w:semiHidden/>
    <w:rsid w:val="00AC26E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黃淑萍</dc:creator>
  <cp:lastModifiedBy>user</cp:lastModifiedBy>
  <cp:revision>2</cp:revision>
  <cp:lastPrinted>2015-04-23T07:03:00Z</cp:lastPrinted>
  <dcterms:created xsi:type="dcterms:W3CDTF">2015-04-23T07:03:00Z</dcterms:created>
  <dcterms:modified xsi:type="dcterms:W3CDTF">2015-04-23T07:03:00Z</dcterms:modified>
</cp:coreProperties>
</file>