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37" w:rsidRPr="00614324" w:rsidRDefault="007C0D98" w:rsidP="004F2C37">
      <w:pPr>
        <w:pStyle w:val="a4"/>
        <w:ind w:leftChars="0" w:left="360"/>
      </w:pPr>
      <w:r w:rsidRPr="007C0D98">
        <w:rPr>
          <w:rFonts w:asciiTheme="minorEastAsia" w:hAnsiTheme="minorEastAsia" w:hint="eastAsia"/>
          <w:b/>
          <w:sz w:val="36"/>
          <w:szCs w:val="36"/>
        </w:rPr>
        <w:t>「西藥及醫療器材查驗登記審查費收費標準」修正第二條、第三條、第四條草案意見說明</w:t>
      </w:r>
    </w:p>
    <w:tbl>
      <w:tblPr>
        <w:tblStyle w:val="a3"/>
        <w:tblW w:w="0" w:type="auto"/>
        <w:tblLayout w:type="fixed"/>
        <w:tblLook w:val="04A0"/>
      </w:tblPr>
      <w:tblGrid>
        <w:gridCol w:w="404"/>
        <w:gridCol w:w="1206"/>
        <w:gridCol w:w="8563"/>
        <w:gridCol w:w="5103"/>
      </w:tblGrid>
      <w:tr w:rsidR="007C0D98" w:rsidRPr="00614324" w:rsidTr="00F5790F">
        <w:trPr>
          <w:tblHeader/>
        </w:trPr>
        <w:tc>
          <w:tcPr>
            <w:tcW w:w="404" w:type="dxa"/>
          </w:tcPr>
          <w:p w:rsidR="007C0D98" w:rsidRPr="00614324" w:rsidRDefault="007C0D98" w:rsidP="008332EF"/>
        </w:tc>
        <w:tc>
          <w:tcPr>
            <w:tcW w:w="1206" w:type="dxa"/>
          </w:tcPr>
          <w:p w:rsidR="007C0D98" w:rsidRPr="00614324" w:rsidRDefault="007C0D98" w:rsidP="008332EF">
            <w:pPr>
              <w:jc w:val="center"/>
            </w:pPr>
            <w:r w:rsidRPr="00614324">
              <w:rPr>
                <w:rFonts w:hint="eastAsia"/>
              </w:rPr>
              <w:t>單位</w:t>
            </w:r>
          </w:p>
        </w:tc>
        <w:tc>
          <w:tcPr>
            <w:tcW w:w="8563" w:type="dxa"/>
          </w:tcPr>
          <w:p w:rsidR="007C0D98" w:rsidRPr="00614324" w:rsidRDefault="007C0D98" w:rsidP="008332EF">
            <w:pPr>
              <w:jc w:val="center"/>
            </w:pPr>
            <w:r w:rsidRPr="00614324">
              <w:rPr>
                <w:rFonts w:hint="eastAsia"/>
              </w:rPr>
              <w:t>公協會建議</w:t>
            </w:r>
          </w:p>
        </w:tc>
        <w:tc>
          <w:tcPr>
            <w:tcW w:w="5103" w:type="dxa"/>
          </w:tcPr>
          <w:p w:rsidR="007C0D98" w:rsidRPr="00614324" w:rsidRDefault="007C0D98" w:rsidP="00733040">
            <w:pPr>
              <w:jc w:val="center"/>
            </w:pPr>
            <w:r w:rsidRPr="00614324">
              <w:rPr>
                <w:rFonts w:hint="eastAsia"/>
              </w:rPr>
              <w:t>食藥署回應說明</w:t>
            </w:r>
          </w:p>
        </w:tc>
      </w:tr>
      <w:tr w:rsidR="005448E0" w:rsidRPr="00733040" w:rsidTr="00F5790F">
        <w:trPr>
          <w:trHeight w:val="3726"/>
        </w:trPr>
        <w:tc>
          <w:tcPr>
            <w:tcW w:w="404" w:type="dxa"/>
          </w:tcPr>
          <w:p w:rsidR="005448E0" w:rsidRPr="00614324" w:rsidRDefault="005448E0" w:rsidP="005448E0">
            <w:r>
              <w:rPr>
                <w:rFonts w:hint="eastAsia"/>
              </w:rPr>
              <w:t>1</w:t>
            </w:r>
          </w:p>
        </w:tc>
        <w:tc>
          <w:tcPr>
            <w:tcW w:w="1206" w:type="dxa"/>
          </w:tcPr>
          <w:p w:rsidR="005448E0" w:rsidRPr="00614324" w:rsidRDefault="005448E0" w:rsidP="00E3049A">
            <w:r w:rsidRPr="00614324">
              <w:rPr>
                <w:rFonts w:hint="eastAsia"/>
              </w:rPr>
              <w:t>台灣製藥工業同業公會</w:t>
            </w:r>
          </w:p>
        </w:tc>
        <w:tc>
          <w:tcPr>
            <w:tcW w:w="8563" w:type="dxa"/>
          </w:tcPr>
          <w:p w:rsidR="005448E0" w:rsidRPr="00614324" w:rsidRDefault="005448E0" w:rsidP="00E3049A">
            <w:pPr>
              <w:pStyle w:val="a4"/>
              <w:numPr>
                <w:ilvl w:val="0"/>
                <w:numId w:val="21"/>
              </w:numPr>
              <w:ind w:leftChars="0"/>
              <w:rPr>
                <w:rFonts w:ascii="新細明體" w:eastAsia="新細明體" w:hAnsi="新細明體" w:cs="新細明體"/>
                <w:kern w:val="0"/>
                <w:sz w:val="23"/>
                <w:szCs w:val="23"/>
              </w:rPr>
            </w:pPr>
            <w:r w:rsidRPr="00614324">
              <w:rPr>
                <w:rFonts w:ascii="新細明體" w:eastAsia="新細明體" w:hAnsi="新細明體" w:cs="新細明體" w:hint="eastAsia"/>
                <w:kern w:val="0"/>
                <w:sz w:val="23"/>
                <w:szCs w:val="23"/>
              </w:rPr>
              <w:t>建請考量國內藥廠為於104年1月1日起全面實施PIC/S已投注大量資金，於短期內尚無法回收成本，若於此之際仍需條證各項收費標準，請體恤業者之困境並請參考各國之收費標準、審查時效、國內</w:t>
            </w:r>
            <w:bookmarkStart w:id="0" w:name="_GoBack"/>
            <w:bookmarkEnd w:id="0"/>
            <w:r w:rsidRPr="00614324">
              <w:rPr>
                <w:rFonts w:ascii="新細明體" w:eastAsia="新細明體" w:hAnsi="新細明體" w:cs="新細明體" w:hint="eastAsia"/>
                <w:kern w:val="0"/>
                <w:sz w:val="23"/>
                <w:szCs w:val="23"/>
              </w:rPr>
              <w:t>市場規模、國民平均所得，作為合理調整規費之參考依據。</w:t>
            </w:r>
          </w:p>
          <w:p w:rsidR="005448E0" w:rsidRPr="00614324" w:rsidRDefault="005448E0" w:rsidP="00E3049A">
            <w:pPr>
              <w:pStyle w:val="a4"/>
              <w:numPr>
                <w:ilvl w:val="0"/>
                <w:numId w:val="21"/>
              </w:numPr>
              <w:ind w:leftChars="0"/>
              <w:rPr>
                <w:rFonts w:ascii="新細明體" w:eastAsia="新細明體" w:hAnsi="新細明體" w:cs="新細明體"/>
                <w:kern w:val="0"/>
                <w:sz w:val="23"/>
                <w:szCs w:val="23"/>
              </w:rPr>
            </w:pPr>
            <w:r w:rsidRPr="00614324">
              <w:rPr>
                <w:rFonts w:ascii="新細明體" w:eastAsia="新細明體" w:hAnsi="新細明體" w:cs="新細明體" w:hint="eastAsia"/>
                <w:kern w:val="0"/>
                <w:sz w:val="23"/>
                <w:szCs w:val="23"/>
              </w:rPr>
              <w:t>原則同意每項規費最高調整20%，相對的依目前的審查天數標準需同時提高審查效率20%。</w:t>
            </w:r>
          </w:p>
          <w:p w:rsidR="005448E0" w:rsidRPr="00614324" w:rsidRDefault="005448E0" w:rsidP="00E3049A">
            <w:pPr>
              <w:pStyle w:val="a4"/>
              <w:numPr>
                <w:ilvl w:val="0"/>
                <w:numId w:val="21"/>
              </w:numPr>
              <w:ind w:leftChars="0"/>
              <w:rPr>
                <w:rFonts w:ascii="新細明體" w:eastAsia="新細明體" w:hAnsi="新細明體" w:cs="新細明體"/>
                <w:kern w:val="0"/>
                <w:sz w:val="23"/>
                <w:szCs w:val="23"/>
              </w:rPr>
            </w:pPr>
            <w:r w:rsidRPr="00614324">
              <w:rPr>
                <w:rFonts w:ascii="新細明體" w:eastAsia="新細明體" w:hAnsi="新細明體" w:cs="新細明體" w:hint="eastAsia"/>
                <w:kern w:val="0"/>
                <w:sz w:val="23"/>
                <w:szCs w:val="23"/>
              </w:rPr>
              <w:t>於業者配合政策實施或鼓勵國產研發所新增之收費項目應免收規費，除非有特別需求再個別討論。</w:t>
            </w:r>
          </w:p>
          <w:p w:rsidR="005448E0" w:rsidRPr="00733040" w:rsidRDefault="005448E0" w:rsidP="00E3049A">
            <w:pPr>
              <w:pStyle w:val="a4"/>
              <w:numPr>
                <w:ilvl w:val="0"/>
                <w:numId w:val="21"/>
              </w:numPr>
              <w:ind w:leftChars="0"/>
              <w:rPr>
                <w:rFonts w:ascii="新細明體" w:eastAsia="新細明體" w:hAnsi="新細明體" w:cs="新細明體"/>
                <w:kern w:val="0"/>
                <w:sz w:val="23"/>
                <w:szCs w:val="23"/>
              </w:rPr>
            </w:pPr>
            <w:r w:rsidRPr="00733040">
              <w:rPr>
                <w:rFonts w:ascii="新細明體" w:eastAsia="新細明體" w:hAnsi="新細明體" w:cs="新細明體" w:hint="eastAsia"/>
                <w:kern w:val="0"/>
                <w:sz w:val="23"/>
                <w:szCs w:val="23"/>
              </w:rPr>
              <w:t>各項查驗登記規費之收費應專款專用，以補足審查人力之不足並提升審查效率。</w:t>
            </w:r>
          </w:p>
          <w:p w:rsidR="005448E0" w:rsidRPr="00614324" w:rsidRDefault="005448E0" w:rsidP="00E3049A">
            <w:pPr>
              <w:pStyle w:val="a4"/>
              <w:numPr>
                <w:ilvl w:val="0"/>
                <w:numId w:val="21"/>
              </w:numPr>
              <w:ind w:leftChars="0"/>
              <w:rPr>
                <w:rFonts w:ascii="新細明體" w:eastAsia="新細明體" w:hAnsi="新細明體" w:cs="新細明體"/>
                <w:kern w:val="0"/>
                <w:sz w:val="23"/>
                <w:szCs w:val="23"/>
              </w:rPr>
            </w:pPr>
            <w:r w:rsidRPr="00614324">
              <w:rPr>
                <w:rFonts w:ascii="新細明體" w:eastAsia="新細明體" w:hAnsi="新細明體" w:cs="新細明體" w:hint="eastAsia"/>
                <w:kern w:val="0"/>
                <w:sz w:val="23"/>
                <w:szCs w:val="23"/>
              </w:rPr>
              <w:t>有關各項收費建議金額請參考附件所列。</w:t>
            </w:r>
          </w:p>
        </w:tc>
        <w:tc>
          <w:tcPr>
            <w:tcW w:w="5103" w:type="dxa"/>
            <w:shd w:val="clear" w:color="auto" w:fill="auto"/>
          </w:tcPr>
          <w:p w:rsidR="005448E0" w:rsidRPr="00733040" w:rsidRDefault="00321AB5" w:rsidP="00E3049A">
            <w:pPr>
              <w:pStyle w:val="a4"/>
              <w:numPr>
                <w:ilvl w:val="0"/>
                <w:numId w:val="25"/>
              </w:numPr>
              <w:ind w:leftChars="0"/>
              <w:rPr>
                <w:kern w:val="0"/>
              </w:rPr>
            </w:pPr>
            <w:r w:rsidRPr="00321AB5">
              <w:rPr>
                <w:rFonts w:hint="eastAsia"/>
                <w:kern w:val="0"/>
              </w:rPr>
              <w:t>本收費標準除新成分新藥外，自八十七年起即未調整，多項標準已不符實際成本，惟近年來人力、交通與原物料等成本提高，基於使用者付費原則，在符合收支平衡之原則下，酌予調整部分收費基準。</w:t>
            </w:r>
          </w:p>
          <w:p w:rsidR="005448E0" w:rsidRPr="00733040" w:rsidRDefault="005448E0" w:rsidP="00E3049A">
            <w:pPr>
              <w:pStyle w:val="a4"/>
              <w:numPr>
                <w:ilvl w:val="0"/>
                <w:numId w:val="25"/>
              </w:numPr>
              <w:ind w:leftChars="0"/>
              <w:rPr>
                <w:kern w:val="0"/>
              </w:rPr>
            </w:pPr>
            <w:r w:rsidRPr="00733040">
              <w:rPr>
                <w:rFonts w:hint="eastAsia"/>
                <w:kern w:val="0"/>
              </w:rPr>
              <w:t>另為鼓勵外銷，建議可以略為調降，經考量擬調降外銷製劑及外銷原料藥查驗登記審查費用至</w:t>
            </w:r>
            <w:r w:rsidRPr="00733040">
              <w:rPr>
                <w:rFonts w:hint="eastAsia"/>
                <w:kern w:val="0"/>
              </w:rPr>
              <w:t>2</w:t>
            </w:r>
            <w:r w:rsidRPr="00733040">
              <w:rPr>
                <w:rFonts w:hint="eastAsia"/>
                <w:kern w:val="0"/>
              </w:rPr>
              <w:t>萬</w:t>
            </w:r>
            <w:r w:rsidRPr="00733040">
              <w:rPr>
                <w:rFonts w:hint="eastAsia"/>
                <w:kern w:val="0"/>
              </w:rPr>
              <w:t>5,000</w:t>
            </w:r>
            <w:r w:rsidRPr="00733040">
              <w:rPr>
                <w:rFonts w:hint="eastAsia"/>
                <w:kern w:val="0"/>
              </w:rPr>
              <w:t>元。</w:t>
            </w:r>
          </w:p>
          <w:p w:rsidR="005448E0" w:rsidRPr="00733040" w:rsidRDefault="005448E0" w:rsidP="00E3049A">
            <w:pPr>
              <w:pStyle w:val="a4"/>
              <w:numPr>
                <w:ilvl w:val="0"/>
                <w:numId w:val="25"/>
              </w:numPr>
              <w:ind w:leftChars="0"/>
              <w:rPr>
                <w:kern w:val="0"/>
              </w:rPr>
            </w:pPr>
            <w:r w:rsidRPr="00733040">
              <w:rPr>
                <w:rFonts w:hint="eastAsia"/>
                <w:kern w:val="0"/>
              </w:rPr>
              <w:t>第二條第十七款「藥物優良臨床試驗準則</w:t>
            </w:r>
            <w:r w:rsidRPr="00733040">
              <w:rPr>
                <w:rFonts w:hint="eastAsia"/>
                <w:kern w:val="0"/>
              </w:rPr>
              <w:t>(GCP)</w:t>
            </w:r>
            <w:r w:rsidRPr="00733040">
              <w:rPr>
                <w:rFonts w:hint="eastAsia"/>
                <w:kern w:val="0"/>
              </w:rPr>
              <w:t>實地查核」為新增收費項目，查驗登記費用並不包含此項，以反映實際所需查核人力成本。</w:t>
            </w:r>
          </w:p>
          <w:p w:rsidR="005448E0" w:rsidRPr="00733040" w:rsidRDefault="005448E0" w:rsidP="00E3049A">
            <w:pPr>
              <w:pStyle w:val="a4"/>
              <w:numPr>
                <w:ilvl w:val="0"/>
                <w:numId w:val="25"/>
              </w:numPr>
              <w:ind w:leftChars="0"/>
              <w:rPr>
                <w:color w:val="FF0000"/>
              </w:rPr>
            </w:pPr>
            <w:r w:rsidRPr="00733040">
              <w:rPr>
                <w:rFonts w:ascii="新細明體" w:eastAsia="新細明體" w:hAnsi="新細明體" w:hint="eastAsia"/>
              </w:rPr>
              <w:t>依據「藥物製造業者檢查辦法」第三條，藥物製造業者之新設、遷移、擴建、復業或增加原料藥、劑型、加工項目、品項及後續追蹤管理等檢查，其軟體設備及衛生條件，應符合藥物製造工廠設廠標準第三編或第四編之規定，並由中央衛生主管機關依第四條規定檢查之；第四條，新設、遷移、擴建、復業或增加原料藥、劑型、加工項目、品項之國產藥品製造業者，應繳納費用，並填具藥品優良製造評鑑申請表及檢附相關資</w:t>
            </w:r>
            <w:r w:rsidRPr="00733040">
              <w:rPr>
                <w:rFonts w:ascii="新細明體" w:eastAsia="新細明體" w:hAnsi="新細明體" w:hint="eastAsia"/>
              </w:rPr>
              <w:lastRenderedPageBreak/>
              <w:t>料，向中央衛生主管機關申請檢查。</w:t>
            </w:r>
            <w:r w:rsidRPr="00733040">
              <w:rPr>
                <w:rFonts w:hint="eastAsia"/>
              </w:rPr>
              <w:t>基於本署成本考量，為利能有足夠人力辦理審查案件，符合公平、使用者付費原則，採調整所有審查項目之規費。</w:t>
            </w:r>
          </w:p>
          <w:p w:rsidR="005448E0" w:rsidRPr="00733040" w:rsidRDefault="005448E0" w:rsidP="00E3049A">
            <w:pPr>
              <w:pStyle w:val="a4"/>
              <w:numPr>
                <w:ilvl w:val="0"/>
                <w:numId w:val="25"/>
              </w:numPr>
              <w:ind w:leftChars="0"/>
              <w:rPr>
                <w:color w:val="FF0000"/>
              </w:rPr>
            </w:pPr>
            <w:r w:rsidRPr="00733040">
              <w:rPr>
                <w:rFonts w:ascii="新細明體" w:eastAsia="新細明體" w:hAnsi="新細明體" w:hint="eastAsia"/>
              </w:rPr>
              <w:t>依據「藥物製造業者檢查辦法」第八條，國產藥品製造業者每二年檢查一次，業者應於證明文件有效期間屆滿六個月前主動提出申請。</w:t>
            </w:r>
            <w:r w:rsidRPr="00733040">
              <w:rPr>
                <w:rFonts w:hint="eastAsia"/>
              </w:rPr>
              <w:t>基於本署成本考量，為利能有足夠人力辦理審查案件，符合公平、使用者付費原則，採調整所有審查項目之規費。</w:t>
            </w:r>
          </w:p>
          <w:p w:rsidR="005448E0" w:rsidRPr="00733040" w:rsidRDefault="005448E0" w:rsidP="00E3049A">
            <w:pPr>
              <w:pStyle w:val="a4"/>
              <w:numPr>
                <w:ilvl w:val="0"/>
                <w:numId w:val="25"/>
              </w:numPr>
              <w:ind w:leftChars="0"/>
              <w:rPr>
                <w:color w:val="FF0000"/>
              </w:rPr>
            </w:pPr>
            <w:r w:rsidRPr="00733040">
              <w:rPr>
                <w:rFonts w:hint="eastAsia"/>
              </w:rPr>
              <w:t>基於使用者付費原則，本署於</w:t>
            </w:r>
            <w:r w:rsidRPr="00733040">
              <w:rPr>
                <w:rFonts w:hint="eastAsia"/>
              </w:rPr>
              <w:t>101.3.6</w:t>
            </w:r>
            <w:r w:rsidRPr="00733040">
              <w:rPr>
                <w:rFonts w:hint="eastAsia"/>
              </w:rPr>
              <w:t>署授食字第</w:t>
            </w:r>
            <w:r w:rsidRPr="00733040">
              <w:rPr>
                <w:rFonts w:hint="eastAsia"/>
              </w:rPr>
              <w:t>1001101530</w:t>
            </w:r>
            <w:r w:rsidRPr="00733040">
              <w:rPr>
                <w:rFonts w:hint="eastAsia"/>
              </w:rPr>
              <w:t>號公告修正收費標準，並非因應</w:t>
            </w:r>
            <w:r w:rsidRPr="00733040">
              <w:rPr>
                <w:rFonts w:hint="eastAsia"/>
              </w:rPr>
              <w:t>PIC/S GMP</w:t>
            </w:r>
            <w:r w:rsidRPr="00733040">
              <w:rPr>
                <w:rFonts w:hint="eastAsia"/>
              </w:rPr>
              <w:t>實施始新增藥廠兼製產品審查之收費項目。</w:t>
            </w:r>
          </w:p>
        </w:tc>
      </w:tr>
      <w:tr w:rsidR="00D302CF" w:rsidRPr="00614324" w:rsidTr="00F5790F">
        <w:trPr>
          <w:trHeight w:val="476"/>
        </w:trPr>
        <w:tc>
          <w:tcPr>
            <w:tcW w:w="404" w:type="dxa"/>
          </w:tcPr>
          <w:p w:rsidR="00D302CF" w:rsidRPr="00D34C4E" w:rsidRDefault="005448E0" w:rsidP="00E3049A">
            <w:pPr>
              <w:rPr>
                <w:sz w:val="20"/>
                <w:szCs w:val="20"/>
              </w:rPr>
            </w:pPr>
            <w:r>
              <w:rPr>
                <w:rFonts w:hint="eastAsia"/>
                <w:sz w:val="20"/>
                <w:szCs w:val="20"/>
              </w:rPr>
              <w:lastRenderedPageBreak/>
              <w:t>2</w:t>
            </w:r>
          </w:p>
        </w:tc>
        <w:tc>
          <w:tcPr>
            <w:tcW w:w="1206" w:type="dxa"/>
          </w:tcPr>
          <w:p w:rsidR="00D302CF" w:rsidRPr="00614324" w:rsidRDefault="00D302CF" w:rsidP="00E3049A">
            <w:r w:rsidRPr="00614324">
              <w:rPr>
                <w:rFonts w:hint="eastAsia"/>
              </w:rPr>
              <w:t>IRPMA</w:t>
            </w:r>
          </w:p>
        </w:tc>
        <w:tc>
          <w:tcPr>
            <w:tcW w:w="8563" w:type="dxa"/>
          </w:tcPr>
          <w:p w:rsidR="00D302CF" w:rsidRDefault="00D302CF" w:rsidP="00E3049A">
            <w:pPr>
              <w:spacing w:line="0" w:lineRule="atLeast"/>
              <w:rPr>
                <w:rFonts w:asciiTheme="majorEastAsia" w:eastAsiaTheme="majorEastAsia" w:hAnsiTheme="majorEastAsia" w:cs="Calibri"/>
                <w:kern w:val="0"/>
                <w:szCs w:val="24"/>
              </w:rPr>
            </w:pPr>
            <w:r w:rsidRPr="00614324">
              <w:rPr>
                <w:rFonts w:asciiTheme="majorEastAsia" w:eastAsiaTheme="majorEastAsia" w:hAnsiTheme="majorEastAsia" w:hint="eastAsia"/>
                <w:szCs w:val="24"/>
              </w:rPr>
              <w:t>希冀</w:t>
            </w:r>
            <w:r w:rsidRPr="00614324">
              <w:rPr>
                <w:rFonts w:asciiTheme="majorEastAsia" w:eastAsiaTheme="majorEastAsia" w:hAnsiTheme="majorEastAsia"/>
                <w:szCs w:val="24"/>
              </w:rPr>
              <w:t xml:space="preserve"> </w:t>
            </w:r>
            <w:r w:rsidRPr="00614324">
              <w:rPr>
                <w:rFonts w:asciiTheme="majorEastAsia" w:eastAsiaTheme="majorEastAsia" w:hAnsiTheme="majorEastAsia" w:hint="eastAsia"/>
                <w:szCs w:val="24"/>
              </w:rPr>
              <w:t>貴署延攬有經驗之專業人才後能加速新藥審查流程，以達到大於</w:t>
            </w:r>
            <w:r w:rsidRPr="00614324">
              <w:rPr>
                <w:rFonts w:asciiTheme="majorEastAsia" w:eastAsiaTheme="majorEastAsia" w:hAnsiTheme="majorEastAsia" w:cs="Calibri"/>
                <w:szCs w:val="24"/>
              </w:rPr>
              <w:t>90%</w:t>
            </w:r>
            <w:r w:rsidRPr="00614324">
              <w:rPr>
                <w:rFonts w:asciiTheme="majorEastAsia" w:eastAsiaTheme="majorEastAsia" w:hAnsiTheme="majorEastAsia" w:hint="eastAsia"/>
                <w:szCs w:val="24"/>
              </w:rPr>
              <w:t>之新藥案件都能符合</w:t>
            </w:r>
            <w:r w:rsidRPr="00614324">
              <w:rPr>
                <w:rFonts w:asciiTheme="majorEastAsia" w:eastAsiaTheme="majorEastAsia" w:hAnsiTheme="majorEastAsia" w:cs="Calibri"/>
                <w:szCs w:val="24"/>
              </w:rPr>
              <w:t>102</w:t>
            </w:r>
            <w:r w:rsidRPr="00614324">
              <w:rPr>
                <w:rFonts w:asciiTheme="majorEastAsia" w:eastAsiaTheme="majorEastAsia" w:hAnsiTheme="majorEastAsia" w:hint="eastAsia"/>
                <w:szCs w:val="24"/>
              </w:rPr>
              <w:t>年</w:t>
            </w:r>
            <w:r w:rsidRPr="00614324">
              <w:rPr>
                <w:rFonts w:asciiTheme="majorEastAsia" w:eastAsiaTheme="majorEastAsia" w:hAnsiTheme="majorEastAsia" w:cs="Calibri"/>
                <w:szCs w:val="24"/>
              </w:rPr>
              <w:t>8</w:t>
            </w:r>
            <w:r w:rsidRPr="00614324">
              <w:rPr>
                <w:rFonts w:asciiTheme="majorEastAsia" w:eastAsiaTheme="majorEastAsia" w:hAnsiTheme="majorEastAsia" w:hint="eastAsia"/>
                <w:szCs w:val="24"/>
              </w:rPr>
              <w:t>月</w:t>
            </w:r>
            <w:r w:rsidRPr="00614324">
              <w:rPr>
                <w:rFonts w:asciiTheme="majorEastAsia" w:eastAsiaTheme="majorEastAsia" w:hAnsiTheme="majorEastAsia" w:cs="Calibri"/>
                <w:szCs w:val="24"/>
              </w:rPr>
              <w:t>26</w:t>
            </w:r>
            <w:r w:rsidRPr="00614324">
              <w:rPr>
                <w:rFonts w:asciiTheme="majorEastAsia" w:eastAsiaTheme="majorEastAsia" w:hAnsiTheme="majorEastAsia" w:hint="eastAsia"/>
                <w:szCs w:val="24"/>
              </w:rPr>
              <w:t>日</w:t>
            </w:r>
            <w:r w:rsidRPr="00614324">
              <w:rPr>
                <w:rFonts w:asciiTheme="majorEastAsia" w:eastAsiaTheme="majorEastAsia" w:hAnsiTheme="majorEastAsia" w:cs="Calibri"/>
                <w:szCs w:val="24"/>
              </w:rPr>
              <w:t>FDA</w:t>
            </w:r>
            <w:r w:rsidRPr="00614324">
              <w:rPr>
                <w:rFonts w:asciiTheme="majorEastAsia" w:eastAsiaTheme="majorEastAsia" w:hAnsiTheme="majorEastAsia" w:hint="eastAsia"/>
                <w:szCs w:val="24"/>
              </w:rPr>
              <w:t>企字第</w:t>
            </w:r>
            <w:r w:rsidRPr="00614324">
              <w:rPr>
                <w:rFonts w:asciiTheme="majorEastAsia" w:eastAsiaTheme="majorEastAsia" w:hAnsiTheme="majorEastAsia" w:cs="Calibri"/>
                <w:szCs w:val="24"/>
              </w:rPr>
              <w:t>1021250261</w:t>
            </w:r>
            <w:r w:rsidRPr="00614324">
              <w:rPr>
                <w:rFonts w:asciiTheme="majorEastAsia" w:eastAsiaTheme="majorEastAsia" w:hAnsiTheme="majorEastAsia" w:hint="eastAsia"/>
                <w:szCs w:val="24"/>
              </w:rPr>
              <w:t>號公告之申請案件處理期限表</w:t>
            </w:r>
            <w:r w:rsidRPr="00614324">
              <w:rPr>
                <w:rFonts w:asciiTheme="majorEastAsia" w:eastAsiaTheme="majorEastAsia" w:hAnsiTheme="majorEastAsia" w:cs="Calibri"/>
                <w:szCs w:val="24"/>
              </w:rPr>
              <w:t>(</w:t>
            </w:r>
            <w:r w:rsidRPr="00614324">
              <w:rPr>
                <w:rFonts w:asciiTheme="majorEastAsia" w:eastAsiaTheme="majorEastAsia" w:hAnsiTheme="majorEastAsia" w:hint="eastAsia"/>
                <w:szCs w:val="24"/>
              </w:rPr>
              <w:t>如附件</w:t>
            </w:r>
            <w:r w:rsidRPr="00614324">
              <w:rPr>
                <w:rFonts w:asciiTheme="majorEastAsia" w:eastAsiaTheme="majorEastAsia" w:hAnsiTheme="majorEastAsia" w:cs="Calibri"/>
                <w:szCs w:val="24"/>
              </w:rPr>
              <w:t>)</w:t>
            </w:r>
            <w:r w:rsidRPr="00614324">
              <w:rPr>
                <w:rFonts w:asciiTheme="majorEastAsia" w:eastAsiaTheme="majorEastAsia" w:hAnsiTheme="majorEastAsia" w:hint="eastAsia"/>
                <w:szCs w:val="24"/>
              </w:rPr>
              <w:t>，並每年公告此達成比率供業界參酌。此外，本協會同時希望新藥標準審查能自送件起起算至核發領證通知為止，能在</w:t>
            </w:r>
            <w:r w:rsidRPr="00614324">
              <w:rPr>
                <w:rFonts w:asciiTheme="majorEastAsia" w:eastAsiaTheme="majorEastAsia" w:hAnsiTheme="majorEastAsia" w:cs="Calibri"/>
                <w:szCs w:val="24"/>
              </w:rPr>
              <w:t>300</w:t>
            </w:r>
            <w:r w:rsidRPr="00614324">
              <w:rPr>
                <w:rFonts w:asciiTheme="majorEastAsia" w:eastAsiaTheme="majorEastAsia" w:hAnsiTheme="majorEastAsia" w:hint="eastAsia"/>
                <w:szCs w:val="24"/>
              </w:rPr>
              <w:t>天內完成，以達到</w:t>
            </w:r>
            <w:r w:rsidRPr="00614324">
              <w:rPr>
                <w:rFonts w:asciiTheme="majorEastAsia" w:eastAsiaTheme="majorEastAsia" w:hAnsiTheme="majorEastAsia"/>
                <w:szCs w:val="24"/>
              </w:rPr>
              <w:t xml:space="preserve"> </w:t>
            </w:r>
            <w:r w:rsidRPr="00614324">
              <w:rPr>
                <w:rFonts w:asciiTheme="majorEastAsia" w:eastAsiaTheme="majorEastAsia" w:hAnsiTheme="majorEastAsia" w:hint="eastAsia"/>
                <w:szCs w:val="24"/>
              </w:rPr>
              <w:t>貴署提高審查速</w:t>
            </w:r>
            <w:r w:rsidRPr="00614324">
              <w:rPr>
                <w:rFonts w:asciiTheme="majorEastAsia" w:eastAsiaTheme="majorEastAsia" w:hAnsiTheme="majorEastAsia" w:cs="標楷體a." w:hint="eastAsia"/>
                <w:kern w:val="0"/>
                <w:szCs w:val="24"/>
              </w:rPr>
              <w:t>率之目標。（詳如下圖說明）</w:t>
            </w:r>
            <w:r w:rsidRPr="00614324">
              <w:rPr>
                <w:rFonts w:asciiTheme="majorEastAsia" w:eastAsiaTheme="majorEastAsia" w:hAnsiTheme="majorEastAsia" w:cs="Calibri"/>
                <w:kern w:val="0"/>
                <w:szCs w:val="24"/>
              </w:rPr>
              <w:t xml:space="preserve">: </w:t>
            </w:r>
          </w:p>
          <w:p w:rsidR="00D302CF" w:rsidRPr="00614324" w:rsidRDefault="00D302CF" w:rsidP="00E3049A">
            <w:pPr>
              <w:pStyle w:val="Default"/>
              <w:spacing w:line="0" w:lineRule="atLeast"/>
              <w:rPr>
                <w:rFonts w:ascii="新細明體" w:eastAsia="新細明體" w:hAnsi="新細明體" w:cs="新細明體"/>
                <w:b/>
                <w:color w:val="auto"/>
              </w:rPr>
            </w:pPr>
            <w:r w:rsidRPr="00614324">
              <w:rPr>
                <w:rFonts w:ascii="新細明體" w:eastAsia="新細明體" w:hAnsi="新細明體" w:cs="新細明體" w:hint="eastAsia"/>
                <w:b/>
                <w:noProof/>
                <w:color w:val="auto"/>
              </w:rPr>
              <w:drawing>
                <wp:anchor distT="0" distB="0" distL="114300" distR="114300" simplePos="0" relativeHeight="251659264" behindDoc="0" locked="0" layoutInCell="1" allowOverlap="1">
                  <wp:simplePos x="0" y="0"/>
                  <wp:positionH relativeFrom="column">
                    <wp:posOffset>-66675</wp:posOffset>
                  </wp:positionH>
                  <wp:positionV relativeFrom="paragraph">
                    <wp:posOffset>408940</wp:posOffset>
                  </wp:positionV>
                  <wp:extent cx="4798695" cy="520700"/>
                  <wp:effectExtent l="0" t="0" r="190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8695" cy="520700"/>
                          </a:xfrm>
                          <a:prstGeom prst="rect">
                            <a:avLst/>
                          </a:prstGeom>
                          <a:noFill/>
                          <a:ln>
                            <a:noFill/>
                          </a:ln>
                        </pic:spPr>
                      </pic:pic>
                    </a:graphicData>
                  </a:graphic>
                </wp:anchor>
              </w:drawing>
            </w:r>
            <w:r w:rsidRPr="00614324">
              <w:rPr>
                <w:rFonts w:ascii="新細明體" w:eastAsia="新細明體" w:hAnsi="新細明體" w:cs="新細明體"/>
                <w:b/>
                <w:noProof/>
                <w:color w:val="auto"/>
              </w:rPr>
              <w:drawing>
                <wp:anchor distT="0" distB="0" distL="114300" distR="114300" simplePos="0" relativeHeight="251660288" behindDoc="0" locked="0" layoutInCell="1" allowOverlap="1">
                  <wp:simplePos x="0" y="0"/>
                  <wp:positionH relativeFrom="column">
                    <wp:posOffset>-66675</wp:posOffset>
                  </wp:positionH>
                  <wp:positionV relativeFrom="paragraph">
                    <wp:posOffset>-22225</wp:posOffset>
                  </wp:positionV>
                  <wp:extent cx="4798695" cy="497840"/>
                  <wp:effectExtent l="0" t="0" r="1905"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8695" cy="497840"/>
                          </a:xfrm>
                          <a:prstGeom prst="rect">
                            <a:avLst/>
                          </a:prstGeom>
                          <a:noFill/>
                          <a:ln>
                            <a:noFill/>
                          </a:ln>
                        </pic:spPr>
                      </pic:pic>
                    </a:graphicData>
                  </a:graphic>
                </wp:anchor>
              </w:drawing>
            </w:r>
            <w:r w:rsidRPr="00614324">
              <w:rPr>
                <w:rFonts w:hint="eastAsia"/>
                <w:color w:val="auto"/>
              </w:rPr>
              <w:t>備註</w:t>
            </w:r>
            <w:r w:rsidRPr="00614324">
              <w:rPr>
                <w:rFonts w:ascii="Calibri" w:hAnsi="Calibri" w:cs="Calibri"/>
                <w:color w:val="auto"/>
              </w:rPr>
              <w:t>: Filing meeting</w:t>
            </w:r>
            <w:r w:rsidRPr="00614324">
              <w:rPr>
                <w:rFonts w:hAnsi="Calibri" w:hint="eastAsia"/>
                <w:color w:val="auto"/>
              </w:rPr>
              <w:t>：第</w:t>
            </w:r>
            <w:r w:rsidRPr="00614324">
              <w:rPr>
                <w:rFonts w:ascii="Calibri" w:hAnsi="Calibri" w:cs="Calibri"/>
                <w:color w:val="auto"/>
              </w:rPr>
              <w:t>30</w:t>
            </w:r>
            <w:r w:rsidRPr="00614324">
              <w:rPr>
                <w:rFonts w:hAnsi="Calibri" w:hint="eastAsia"/>
                <w:color w:val="auto"/>
              </w:rPr>
              <w:t>天；</w:t>
            </w:r>
            <w:r w:rsidRPr="00614324">
              <w:rPr>
                <w:rFonts w:ascii="Calibri" w:hAnsi="Calibri" w:cs="Calibri"/>
                <w:color w:val="auto"/>
              </w:rPr>
              <w:t>Review meeting</w:t>
            </w:r>
            <w:r w:rsidRPr="00614324">
              <w:rPr>
                <w:rFonts w:hAnsi="Calibri" w:hint="eastAsia"/>
                <w:color w:val="auto"/>
              </w:rPr>
              <w:t>：第</w:t>
            </w:r>
            <w:r w:rsidRPr="00614324">
              <w:rPr>
                <w:rFonts w:ascii="Calibri" w:hAnsi="Calibri" w:cs="Calibri"/>
                <w:color w:val="auto"/>
              </w:rPr>
              <w:t>90</w:t>
            </w:r>
            <w:r w:rsidRPr="00614324">
              <w:rPr>
                <w:rFonts w:hAnsi="Calibri" w:hint="eastAsia"/>
                <w:color w:val="auto"/>
              </w:rPr>
              <w:t>天；完成審查報告：第</w:t>
            </w:r>
            <w:r w:rsidRPr="00614324">
              <w:rPr>
                <w:rFonts w:ascii="Calibri" w:hAnsi="Calibri" w:cs="Calibri"/>
                <w:color w:val="auto"/>
              </w:rPr>
              <w:t>120</w:t>
            </w:r>
            <w:r w:rsidRPr="00614324">
              <w:rPr>
                <w:rFonts w:hAnsi="Calibri" w:hint="eastAsia"/>
                <w:color w:val="auto"/>
              </w:rPr>
              <w:t>天；</w:t>
            </w:r>
            <w:r w:rsidRPr="00614324">
              <w:rPr>
                <w:rFonts w:ascii="Calibri" w:hAnsi="Calibri" w:cs="Calibri"/>
                <w:color w:val="auto"/>
              </w:rPr>
              <w:t xml:space="preserve">AC </w:t>
            </w:r>
            <w:r w:rsidRPr="00614324">
              <w:rPr>
                <w:rFonts w:hAnsi="Calibri" w:hint="eastAsia"/>
                <w:color w:val="auto"/>
              </w:rPr>
              <w:t>會議：第</w:t>
            </w:r>
            <w:r w:rsidRPr="00614324">
              <w:rPr>
                <w:rFonts w:ascii="Calibri" w:hAnsi="Calibri" w:cs="Calibri"/>
                <w:color w:val="auto"/>
              </w:rPr>
              <w:t>180</w:t>
            </w:r>
            <w:r w:rsidRPr="00614324">
              <w:rPr>
                <w:rFonts w:hAnsi="Calibri" w:hint="eastAsia"/>
                <w:color w:val="auto"/>
              </w:rPr>
              <w:t>天；核准函通知：第</w:t>
            </w:r>
            <w:r w:rsidRPr="00614324">
              <w:rPr>
                <w:rFonts w:ascii="Calibri" w:hAnsi="Calibri" w:cs="Calibri"/>
                <w:color w:val="auto"/>
              </w:rPr>
              <w:t>210</w:t>
            </w:r>
            <w:r w:rsidRPr="00614324">
              <w:rPr>
                <w:rFonts w:hAnsi="Calibri" w:hint="eastAsia"/>
                <w:color w:val="auto"/>
              </w:rPr>
              <w:t>天；</w:t>
            </w:r>
            <w:r w:rsidRPr="00614324">
              <w:rPr>
                <w:rFonts w:ascii="Calibri" w:hAnsi="Calibri" w:cs="Calibri"/>
                <w:color w:val="auto"/>
              </w:rPr>
              <w:t>PI Review</w:t>
            </w:r>
            <w:r w:rsidRPr="00614324">
              <w:rPr>
                <w:rFonts w:hAnsi="Calibri" w:hint="eastAsia"/>
                <w:color w:val="auto"/>
              </w:rPr>
              <w:t>：第</w:t>
            </w:r>
            <w:r w:rsidRPr="00614324">
              <w:rPr>
                <w:rFonts w:ascii="Calibri" w:hAnsi="Calibri" w:cs="Calibri"/>
                <w:color w:val="auto"/>
              </w:rPr>
              <w:t>270</w:t>
            </w:r>
            <w:r w:rsidRPr="00614324">
              <w:rPr>
                <w:rFonts w:hAnsi="Calibri" w:hint="eastAsia"/>
                <w:color w:val="auto"/>
              </w:rPr>
              <w:t>天；領證通知：第</w:t>
            </w:r>
            <w:r w:rsidRPr="00614324">
              <w:rPr>
                <w:rFonts w:ascii="Calibri" w:hAnsi="Calibri" w:cs="Calibri"/>
                <w:color w:val="auto"/>
              </w:rPr>
              <w:t>300</w:t>
            </w:r>
            <w:r w:rsidRPr="00614324">
              <w:rPr>
                <w:rFonts w:hAnsi="Calibri" w:hint="eastAsia"/>
                <w:color w:val="auto"/>
              </w:rPr>
              <w:t>天，總天數</w:t>
            </w:r>
            <w:r w:rsidRPr="00614324">
              <w:rPr>
                <w:rFonts w:ascii="Calibri" w:hAnsi="Calibri" w:cs="Calibri"/>
                <w:color w:val="auto"/>
              </w:rPr>
              <w:t>: 300</w:t>
            </w:r>
            <w:r w:rsidRPr="00614324">
              <w:rPr>
                <w:rFonts w:hAnsi="Calibri" w:hint="eastAsia"/>
                <w:color w:val="auto"/>
              </w:rPr>
              <w:t>天</w:t>
            </w:r>
          </w:p>
        </w:tc>
        <w:tc>
          <w:tcPr>
            <w:tcW w:w="5103" w:type="dxa"/>
          </w:tcPr>
          <w:p w:rsidR="00D302CF" w:rsidRPr="00614324" w:rsidRDefault="00D302CF" w:rsidP="00321AB5">
            <w:r w:rsidRPr="00614324">
              <w:rPr>
                <w:rFonts w:hint="eastAsia"/>
                <w:kern w:val="0"/>
              </w:rPr>
              <w:t>俟規費調漲，增聘審查人力，</w:t>
            </w:r>
            <w:r w:rsidR="00321AB5">
              <w:rPr>
                <w:rFonts w:hint="eastAsia"/>
                <w:kern w:val="0"/>
              </w:rPr>
              <w:t>將加速案件審查，並強化諮詢與業界溝通。</w:t>
            </w:r>
          </w:p>
        </w:tc>
      </w:tr>
      <w:tr w:rsidR="00D302CF" w:rsidRPr="00614324" w:rsidTr="00F5790F">
        <w:trPr>
          <w:trHeight w:val="1325"/>
        </w:trPr>
        <w:tc>
          <w:tcPr>
            <w:tcW w:w="404" w:type="dxa"/>
          </w:tcPr>
          <w:p w:rsidR="00D302CF" w:rsidRPr="00D34C4E" w:rsidRDefault="005448E0" w:rsidP="00E3049A">
            <w:pPr>
              <w:rPr>
                <w:sz w:val="20"/>
                <w:szCs w:val="20"/>
              </w:rPr>
            </w:pPr>
            <w:r>
              <w:rPr>
                <w:rFonts w:hint="eastAsia"/>
                <w:sz w:val="20"/>
                <w:szCs w:val="20"/>
              </w:rPr>
              <w:t>3</w:t>
            </w:r>
          </w:p>
        </w:tc>
        <w:tc>
          <w:tcPr>
            <w:tcW w:w="1206" w:type="dxa"/>
          </w:tcPr>
          <w:p w:rsidR="00D302CF" w:rsidRPr="00614324" w:rsidRDefault="00D302CF" w:rsidP="00E3049A">
            <w:r w:rsidRPr="00614324">
              <w:rPr>
                <w:rFonts w:hint="eastAsia"/>
              </w:rPr>
              <w:t>IRPMA</w:t>
            </w:r>
          </w:p>
        </w:tc>
        <w:tc>
          <w:tcPr>
            <w:tcW w:w="8563" w:type="dxa"/>
          </w:tcPr>
          <w:p w:rsidR="00D302CF" w:rsidRPr="00614324" w:rsidRDefault="00D302CF" w:rsidP="00E3049A">
            <w:pPr>
              <w:autoSpaceDE w:val="0"/>
              <w:autoSpaceDN w:val="0"/>
              <w:adjustRightInd w:val="0"/>
              <w:spacing w:line="0" w:lineRule="atLeast"/>
              <w:rPr>
                <w:rFonts w:ascii="新細明體" w:eastAsia="新細明體" w:hAnsi="新細明體" w:cs="新細明體"/>
                <w:b/>
                <w:kern w:val="0"/>
                <w:sz w:val="23"/>
                <w:szCs w:val="23"/>
              </w:rPr>
            </w:pPr>
            <w:r w:rsidRPr="00614324">
              <w:rPr>
                <w:rFonts w:ascii="標楷體a.波.." w:eastAsia="標楷體a.波.." w:cs="標楷體a.波.." w:hint="eastAsia"/>
                <w:kern w:val="0"/>
                <w:szCs w:val="24"/>
              </w:rPr>
              <w:t>針對部分查驗登記規費調整，因部分審查之技術性資料相同，應可比照現行新成分新藥查驗登記費用同成分不同劑型之收費方式，如有牽涉多張同成分不同劑型或劑量之藥證進行同一適應症申請，或新藥查驗登記時已檢附原料藥之相關資料，是否在原料藥登記申請時，可以併案審查而不另收費。</w:t>
            </w:r>
          </w:p>
        </w:tc>
        <w:tc>
          <w:tcPr>
            <w:tcW w:w="5103" w:type="dxa"/>
          </w:tcPr>
          <w:p w:rsidR="00D302CF" w:rsidRPr="00614324" w:rsidRDefault="00D302CF" w:rsidP="00F5790F">
            <w:r w:rsidRPr="007C0D98">
              <w:rPr>
                <w:rFonts w:hint="eastAsia"/>
                <w:kern w:val="0"/>
              </w:rPr>
              <w:t>有關新成分新藥查驗登記時已審過之原料藥，如需核發</w:t>
            </w:r>
            <w:r w:rsidRPr="007C0D98">
              <w:rPr>
                <w:kern w:val="0"/>
              </w:rPr>
              <w:t>DMF</w:t>
            </w:r>
            <w:r w:rsidRPr="007C0D98">
              <w:rPr>
                <w:rFonts w:hint="eastAsia"/>
                <w:kern w:val="0"/>
              </w:rPr>
              <w:t>證明，比照現行模式，需繳行政規費。</w:t>
            </w:r>
          </w:p>
        </w:tc>
      </w:tr>
      <w:tr w:rsidR="00D302CF" w:rsidRPr="00614324" w:rsidTr="00F5790F">
        <w:trPr>
          <w:trHeight w:val="4095"/>
        </w:trPr>
        <w:tc>
          <w:tcPr>
            <w:tcW w:w="404" w:type="dxa"/>
          </w:tcPr>
          <w:p w:rsidR="00D302CF" w:rsidRPr="00D34C4E" w:rsidRDefault="005448E0" w:rsidP="00E3049A">
            <w:pPr>
              <w:rPr>
                <w:sz w:val="20"/>
                <w:szCs w:val="20"/>
              </w:rPr>
            </w:pPr>
            <w:r>
              <w:rPr>
                <w:rFonts w:hint="eastAsia"/>
                <w:sz w:val="20"/>
                <w:szCs w:val="20"/>
              </w:rPr>
              <w:t>4</w:t>
            </w:r>
          </w:p>
        </w:tc>
        <w:tc>
          <w:tcPr>
            <w:tcW w:w="1206" w:type="dxa"/>
          </w:tcPr>
          <w:p w:rsidR="00D302CF" w:rsidRPr="00614324" w:rsidRDefault="00D302CF" w:rsidP="00E3049A">
            <w:r w:rsidRPr="00614324">
              <w:rPr>
                <w:rFonts w:hint="eastAsia"/>
              </w:rPr>
              <w:t>IRPMA</w:t>
            </w:r>
          </w:p>
        </w:tc>
        <w:tc>
          <w:tcPr>
            <w:tcW w:w="856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46"/>
              <w:gridCol w:w="2552"/>
              <w:gridCol w:w="2268"/>
            </w:tblGrid>
            <w:tr w:rsidR="00D302CF" w:rsidRPr="00614324" w:rsidTr="00D5506D">
              <w:trPr>
                <w:trHeight w:val="119"/>
              </w:trPr>
              <w:tc>
                <w:tcPr>
                  <w:tcW w:w="1242" w:type="dxa"/>
                </w:tcPr>
                <w:p w:rsidR="00D302CF" w:rsidRPr="00F5790F" w:rsidRDefault="00D302CF" w:rsidP="00E3049A">
                  <w:pPr>
                    <w:pStyle w:val="Default"/>
                    <w:rPr>
                      <w:color w:val="auto"/>
                      <w:sz w:val="22"/>
                      <w:szCs w:val="22"/>
                    </w:rPr>
                  </w:pPr>
                  <w:r w:rsidRPr="00F5790F">
                    <w:rPr>
                      <w:rFonts w:hint="eastAsia"/>
                      <w:color w:val="auto"/>
                      <w:sz w:val="22"/>
                      <w:szCs w:val="22"/>
                    </w:rPr>
                    <w:t>第二條</w:t>
                  </w:r>
                  <w:r w:rsidRPr="00F5790F">
                    <w:rPr>
                      <w:color w:val="auto"/>
                      <w:sz w:val="22"/>
                      <w:szCs w:val="22"/>
                    </w:rPr>
                    <w:t xml:space="preserve"> </w:t>
                  </w:r>
                </w:p>
              </w:tc>
              <w:tc>
                <w:tcPr>
                  <w:tcW w:w="2246" w:type="dxa"/>
                </w:tcPr>
                <w:p w:rsidR="00D302CF" w:rsidRPr="00F5790F" w:rsidRDefault="00D302CF" w:rsidP="00E3049A">
                  <w:pPr>
                    <w:pStyle w:val="Default"/>
                    <w:rPr>
                      <w:color w:val="auto"/>
                      <w:sz w:val="22"/>
                      <w:szCs w:val="22"/>
                    </w:rPr>
                  </w:pPr>
                  <w:r w:rsidRPr="00F5790F">
                    <w:rPr>
                      <w:rFonts w:hint="eastAsia"/>
                      <w:color w:val="auto"/>
                      <w:sz w:val="22"/>
                      <w:szCs w:val="22"/>
                    </w:rPr>
                    <w:t>草案原文</w:t>
                  </w:r>
                  <w:r w:rsidRPr="00F5790F">
                    <w:rPr>
                      <w:color w:val="auto"/>
                      <w:sz w:val="22"/>
                      <w:szCs w:val="22"/>
                    </w:rPr>
                    <w:t xml:space="preserve"> </w:t>
                  </w:r>
                </w:p>
              </w:tc>
              <w:tc>
                <w:tcPr>
                  <w:tcW w:w="2552" w:type="dxa"/>
                </w:tcPr>
                <w:p w:rsidR="00D302CF" w:rsidRPr="00F5790F" w:rsidRDefault="00D302CF" w:rsidP="00E3049A">
                  <w:pPr>
                    <w:pStyle w:val="Default"/>
                    <w:rPr>
                      <w:color w:val="auto"/>
                      <w:sz w:val="22"/>
                      <w:szCs w:val="22"/>
                    </w:rPr>
                  </w:pPr>
                  <w:r w:rsidRPr="00F5790F">
                    <w:rPr>
                      <w:rFonts w:hint="eastAsia"/>
                      <w:color w:val="auto"/>
                      <w:sz w:val="22"/>
                      <w:szCs w:val="22"/>
                    </w:rPr>
                    <w:t>建議</w:t>
                  </w:r>
                  <w:r w:rsidRPr="00F5790F">
                    <w:rPr>
                      <w:color w:val="auto"/>
                      <w:sz w:val="22"/>
                      <w:szCs w:val="22"/>
                    </w:rPr>
                    <w:t xml:space="preserve"> </w:t>
                  </w:r>
                </w:p>
              </w:tc>
              <w:tc>
                <w:tcPr>
                  <w:tcW w:w="2268" w:type="dxa"/>
                </w:tcPr>
                <w:p w:rsidR="00D302CF" w:rsidRPr="00F5790F" w:rsidRDefault="00D302CF" w:rsidP="00E3049A">
                  <w:pPr>
                    <w:pStyle w:val="Default"/>
                    <w:rPr>
                      <w:color w:val="auto"/>
                      <w:sz w:val="22"/>
                      <w:szCs w:val="22"/>
                    </w:rPr>
                  </w:pPr>
                  <w:r w:rsidRPr="00F5790F">
                    <w:rPr>
                      <w:rFonts w:hint="eastAsia"/>
                      <w:color w:val="auto"/>
                      <w:sz w:val="22"/>
                      <w:szCs w:val="22"/>
                    </w:rPr>
                    <w:t>理由</w:t>
                  </w:r>
                  <w:r w:rsidRPr="00F5790F">
                    <w:rPr>
                      <w:color w:val="auto"/>
                      <w:sz w:val="22"/>
                      <w:szCs w:val="22"/>
                    </w:rPr>
                    <w:t xml:space="preserve"> </w:t>
                  </w:r>
                </w:p>
              </w:tc>
            </w:tr>
            <w:tr w:rsidR="00D302CF" w:rsidRPr="00614324" w:rsidTr="00D5506D">
              <w:trPr>
                <w:trHeight w:val="1224"/>
              </w:trPr>
              <w:tc>
                <w:tcPr>
                  <w:tcW w:w="1242" w:type="dxa"/>
                </w:tcPr>
                <w:p w:rsidR="00D302CF" w:rsidRPr="00F5790F" w:rsidRDefault="00D302CF" w:rsidP="00E3049A">
                  <w:pPr>
                    <w:pStyle w:val="Default"/>
                    <w:rPr>
                      <w:rFonts w:hAnsi="Calibri"/>
                      <w:color w:val="auto"/>
                      <w:sz w:val="22"/>
                      <w:szCs w:val="22"/>
                    </w:rPr>
                  </w:pPr>
                  <w:r w:rsidRPr="00F5790F">
                    <w:rPr>
                      <w:rFonts w:ascii="SimSun" w:eastAsia="SimSun" w:cs="SimSun" w:hint="eastAsia"/>
                      <w:color w:val="auto"/>
                      <w:sz w:val="22"/>
                      <w:szCs w:val="22"/>
                    </w:rPr>
                    <w:t>一</w:t>
                  </w:r>
                  <w:r w:rsidRPr="00F5790F">
                    <w:rPr>
                      <w:rFonts w:ascii="Calibri" w:eastAsia="SimSun" w:hAnsi="Calibri" w:cs="Calibri"/>
                      <w:color w:val="auto"/>
                      <w:sz w:val="22"/>
                      <w:szCs w:val="22"/>
                    </w:rPr>
                    <w:t xml:space="preserve">. </w:t>
                  </w:r>
                  <w:r w:rsidRPr="00F5790F">
                    <w:rPr>
                      <w:rFonts w:hAnsi="Calibri" w:hint="eastAsia"/>
                      <w:color w:val="auto"/>
                      <w:sz w:val="22"/>
                      <w:szCs w:val="22"/>
                    </w:rPr>
                    <w:t>新藥</w:t>
                  </w:r>
                  <w:r w:rsidRPr="00F5790F">
                    <w:rPr>
                      <w:rFonts w:hAnsi="Calibri"/>
                      <w:color w:val="auto"/>
                      <w:sz w:val="22"/>
                      <w:szCs w:val="22"/>
                    </w:rPr>
                    <w:t xml:space="preserve"> </w:t>
                  </w:r>
                </w:p>
                <w:p w:rsidR="00D302CF" w:rsidRPr="00F5790F" w:rsidRDefault="00D302CF" w:rsidP="00E3049A">
                  <w:pPr>
                    <w:pStyle w:val="Default"/>
                    <w:rPr>
                      <w:rFonts w:hAnsi="Calibri"/>
                      <w:color w:val="auto"/>
                      <w:sz w:val="22"/>
                      <w:szCs w:val="22"/>
                    </w:rPr>
                  </w:pPr>
                </w:p>
              </w:tc>
              <w:tc>
                <w:tcPr>
                  <w:tcW w:w="2246" w:type="dxa"/>
                </w:tcPr>
                <w:p w:rsidR="00D302CF" w:rsidRPr="00F5790F" w:rsidRDefault="00D302CF" w:rsidP="00E3049A">
                  <w:pPr>
                    <w:pStyle w:val="Default"/>
                    <w:rPr>
                      <w:color w:val="auto"/>
                      <w:sz w:val="22"/>
                      <w:szCs w:val="22"/>
                    </w:rPr>
                  </w:pPr>
                  <w:r w:rsidRPr="00F5790F">
                    <w:rPr>
                      <w:rFonts w:hint="eastAsia"/>
                      <w:color w:val="auto"/>
                      <w:sz w:val="22"/>
                      <w:szCs w:val="22"/>
                    </w:rPr>
                    <w:t>（三）新劑型、新使用劑量、新單位含量或控釋劑型、相同成分相同投與途徑不同劑量之新成分新藥等製劑產品之查驗登記，新臺幣十五萬元。</w:t>
                  </w:r>
                </w:p>
              </w:tc>
              <w:tc>
                <w:tcPr>
                  <w:tcW w:w="2552" w:type="dxa"/>
                </w:tcPr>
                <w:p w:rsidR="00D302CF" w:rsidRPr="00F5790F" w:rsidRDefault="00D302CF" w:rsidP="00E3049A">
                  <w:pPr>
                    <w:pStyle w:val="Default"/>
                    <w:rPr>
                      <w:rFonts w:hAnsi="Times New Roman"/>
                      <w:color w:val="auto"/>
                      <w:sz w:val="22"/>
                      <w:szCs w:val="22"/>
                    </w:rPr>
                  </w:pPr>
                  <w:r w:rsidRPr="00F5790F">
                    <w:rPr>
                      <w:rFonts w:ascii="Times New Roman" w:hAnsi="Times New Roman" w:cs="Times New Roman"/>
                      <w:color w:val="auto"/>
                      <w:sz w:val="22"/>
                      <w:szCs w:val="22"/>
                    </w:rPr>
                    <w:t>(</w:t>
                  </w:r>
                  <w:r w:rsidRPr="00F5790F">
                    <w:rPr>
                      <w:rFonts w:hAnsi="Times New Roman" w:hint="eastAsia"/>
                      <w:color w:val="auto"/>
                      <w:sz w:val="22"/>
                      <w:szCs w:val="22"/>
                    </w:rPr>
                    <w:t>三</w:t>
                  </w:r>
                  <w:r w:rsidRPr="00F5790F">
                    <w:rPr>
                      <w:rFonts w:ascii="Times New Roman" w:hAnsi="Times New Roman" w:cs="Times New Roman"/>
                      <w:color w:val="auto"/>
                      <w:sz w:val="22"/>
                      <w:szCs w:val="22"/>
                    </w:rPr>
                    <w:t xml:space="preserve">) </w:t>
                  </w:r>
                  <w:r w:rsidRPr="00F5790F">
                    <w:rPr>
                      <w:rFonts w:hAnsi="Times New Roman" w:hint="eastAsia"/>
                      <w:color w:val="auto"/>
                      <w:sz w:val="22"/>
                      <w:szCs w:val="22"/>
                    </w:rPr>
                    <w:t>新劑型、新使用劑量、新單位含量或控釋劑型、相同成分相同投與途徑不同劑量之新成分新藥等製劑產品之查驗登記，新臺幣十五萬元。</w:t>
                  </w:r>
                  <w:r w:rsidRPr="00F5790F">
                    <w:rPr>
                      <w:rFonts w:hAnsi="Times New Roman"/>
                      <w:color w:val="auto"/>
                      <w:sz w:val="22"/>
                      <w:szCs w:val="22"/>
                    </w:rPr>
                    <w:t xml:space="preserve"> </w:t>
                  </w:r>
                </w:p>
                <w:p w:rsidR="00D302CF" w:rsidRPr="00F5790F" w:rsidRDefault="00D302CF" w:rsidP="00E3049A">
                  <w:pPr>
                    <w:pStyle w:val="Default"/>
                    <w:rPr>
                      <w:rFonts w:hAnsi="Times New Roman"/>
                      <w:color w:val="auto"/>
                      <w:sz w:val="22"/>
                      <w:szCs w:val="22"/>
                    </w:rPr>
                  </w:pPr>
                  <w:r w:rsidRPr="00F5790F">
                    <w:rPr>
                      <w:rFonts w:hAnsi="Times New Roman"/>
                      <w:color w:val="auto"/>
                      <w:sz w:val="22"/>
                      <w:szCs w:val="22"/>
                    </w:rPr>
                    <w:t>(</w:t>
                  </w:r>
                  <w:r w:rsidRPr="00F5790F">
                    <w:rPr>
                      <w:rFonts w:hAnsi="Times New Roman" w:hint="eastAsia"/>
                      <w:color w:val="auto"/>
                      <w:sz w:val="22"/>
                      <w:szCs w:val="22"/>
                    </w:rPr>
                    <w:t>四) 相同成分相同投與途徑不同劑量之新成分新藥等製劑產品之查驗登記，新臺幣八萬元。</w:t>
                  </w:r>
                </w:p>
              </w:tc>
              <w:tc>
                <w:tcPr>
                  <w:tcW w:w="2268" w:type="dxa"/>
                </w:tcPr>
                <w:p w:rsidR="00D302CF" w:rsidRPr="00F5790F" w:rsidRDefault="00D302CF" w:rsidP="00D5506D">
                  <w:pPr>
                    <w:pStyle w:val="Default"/>
                    <w:tabs>
                      <w:tab w:val="left" w:pos="2160"/>
                    </w:tabs>
                    <w:spacing w:line="0" w:lineRule="atLeast"/>
                    <w:ind w:rightChars="72" w:right="173"/>
                    <w:rPr>
                      <w:rFonts w:hAnsi="Wingdings" w:hint="eastAsia"/>
                      <w:color w:val="auto"/>
                      <w:sz w:val="22"/>
                      <w:szCs w:val="22"/>
                    </w:rPr>
                  </w:pPr>
                  <w:r w:rsidRPr="00F5790F">
                    <w:rPr>
                      <w:rFonts w:hAnsi="Wingdings" w:hint="eastAsia"/>
                      <w:color w:val="auto"/>
                      <w:sz w:val="22"/>
                      <w:szCs w:val="22"/>
                    </w:rPr>
                    <w:t>相同成分相同投與途徑不同劑量之新成分新藥等製劑產品之查驗登記，與新成分新藥同時送件，只需審查其</w:t>
                  </w:r>
                  <w:r w:rsidRPr="00F5790F">
                    <w:rPr>
                      <w:rFonts w:ascii="Arial Unicode MS" w:eastAsia="Arial Unicode MS" w:hAnsi="Wingdings" w:cs="Arial Unicode MS" w:hint="eastAsia"/>
                      <w:color w:val="auto"/>
                      <w:sz w:val="22"/>
                      <w:szCs w:val="22"/>
                    </w:rPr>
                    <w:t>CMC</w:t>
                  </w:r>
                  <w:r w:rsidRPr="00F5790F">
                    <w:rPr>
                      <w:rFonts w:hAnsi="Wingdings" w:hint="eastAsia"/>
                      <w:color w:val="auto"/>
                      <w:sz w:val="22"/>
                      <w:szCs w:val="22"/>
                    </w:rPr>
                    <w:t>技術文件</w:t>
                  </w:r>
                  <w:r w:rsidRPr="00F5790F">
                    <w:rPr>
                      <w:rFonts w:ascii="Arial Unicode MS" w:eastAsia="Arial Unicode MS" w:hAnsi="Wingdings" w:cs="Arial Unicode MS" w:hint="eastAsia"/>
                      <w:color w:val="auto"/>
                      <w:sz w:val="22"/>
                      <w:szCs w:val="22"/>
                    </w:rPr>
                    <w:t xml:space="preserve">, </w:t>
                  </w:r>
                  <w:r w:rsidRPr="00F5790F">
                    <w:rPr>
                      <w:rFonts w:hAnsi="Wingdings" w:hint="eastAsia"/>
                      <w:color w:val="auto"/>
                      <w:sz w:val="22"/>
                      <w:szCs w:val="22"/>
                    </w:rPr>
                    <w:t>不需重複審查非臨床或臨床資料，其人力較審理全套新藥資料為少，與二.一般製劑(一)監視學名藥之審查人力相當，故其審查費應調降。</w:t>
                  </w:r>
                </w:p>
              </w:tc>
            </w:tr>
          </w:tbl>
          <w:p w:rsidR="00D302CF" w:rsidRPr="00614324" w:rsidRDefault="00D302CF" w:rsidP="00E3049A">
            <w:pPr>
              <w:pStyle w:val="a4"/>
              <w:tabs>
                <w:tab w:val="left" w:pos="318"/>
              </w:tabs>
              <w:ind w:leftChars="0" w:left="174"/>
              <w:rPr>
                <w:rFonts w:ascii="新細明體" w:eastAsia="新細明體" w:hAnsi="新細明體" w:cs="新細明體"/>
                <w:kern w:val="0"/>
                <w:sz w:val="21"/>
                <w:szCs w:val="21"/>
              </w:rPr>
            </w:pPr>
          </w:p>
        </w:tc>
        <w:tc>
          <w:tcPr>
            <w:tcW w:w="5103" w:type="dxa"/>
          </w:tcPr>
          <w:p w:rsidR="00D302CF" w:rsidRPr="00614324" w:rsidRDefault="00D302CF" w:rsidP="00E3049A">
            <w:r w:rsidRPr="00614324">
              <w:rPr>
                <w:rFonts w:hint="eastAsia"/>
                <w:kern w:val="0"/>
              </w:rPr>
              <w:t>不同劑量之新成分新藥等製劑產品之查驗登記，與新成分新藥同時送件，已經減免規費，不以新成分新藥價錢收費。</w:t>
            </w:r>
          </w:p>
        </w:tc>
      </w:tr>
      <w:tr w:rsidR="005448E0" w:rsidRPr="00614324" w:rsidTr="00F5790F">
        <w:tc>
          <w:tcPr>
            <w:tcW w:w="404" w:type="dxa"/>
          </w:tcPr>
          <w:p w:rsidR="005448E0" w:rsidRPr="00D34C4E" w:rsidRDefault="005448E0" w:rsidP="00E3049A">
            <w:pPr>
              <w:rPr>
                <w:sz w:val="20"/>
                <w:szCs w:val="20"/>
              </w:rPr>
            </w:pPr>
            <w:r>
              <w:rPr>
                <w:rFonts w:hint="eastAsia"/>
                <w:sz w:val="20"/>
                <w:szCs w:val="20"/>
              </w:rPr>
              <w:t>5</w:t>
            </w:r>
          </w:p>
        </w:tc>
        <w:tc>
          <w:tcPr>
            <w:tcW w:w="1206" w:type="dxa"/>
          </w:tcPr>
          <w:p w:rsidR="005448E0" w:rsidRPr="00614324" w:rsidRDefault="005448E0" w:rsidP="00E3049A">
            <w:r>
              <w:rPr>
                <w:rFonts w:hint="eastAsia"/>
              </w:rPr>
              <w:t>IRPMA</w:t>
            </w:r>
          </w:p>
        </w:tc>
        <w:tc>
          <w:tcPr>
            <w:tcW w:w="856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46"/>
              <w:gridCol w:w="2552"/>
              <w:gridCol w:w="2268"/>
            </w:tblGrid>
            <w:tr w:rsidR="005448E0" w:rsidRPr="00614324" w:rsidTr="00D5506D">
              <w:trPr>
                <w:trHeight w:val="119"/>
              </w:trPr>
              <w:tc>
                <w:tcPr>
                  <w:tcW w:w="1242" w:type="dxa"/>
                </w:tcPr>
                <w:p w:rsidR="005448E0" w:rsidRPr="00F5790F" w:rsidRDefault="005448E0" w:rsidP="00E3049A">
                  <w:pPr>
                    <w:pStyle w:val="Default"/>
                    <w:rPr>
                      <w:color w:val="auto"/>
                      <w:sz w:val="22"/>
                      <w:szCs w:val="22"/>
                    </w:rPr>
                  </w:pPr>
                  <w:r w:rsidRPr="00F5790F">
                    <w:rPr>
                      <w:rFonts w:hint="eastAsia"/>
                      <w:color w:val="auto"/>
                      <w:sz w:val="22"/>
                      <w:szCs w:val="22"/>
                    </w:rPr>
                    <w:t>第二條</w:t>
                  </w:r>
                  <w:r w:rsidRPr="00F5790F">
                    <w:rPr>
                      <w:color w:val="auto"/>
                      <w:sz w:val="22"/>
                      <w:szCs w:val="22"/>
                    </w:rPr>
                    <w:t xml:space="preserve"> </w:t>
                  </w:r>
                </w:p>
              </w:tc>
              <w:tc>
                <w:tcPr>
                  <w:tcW w:w="2246" w:type="dxa"/>
                </w:tcPr>
                <w:p w:rsidR="005448E0" w:rsidRPr="00F5790F" w:rsidRDefault="005448E0" w:rsidP="00E3049A">
                  <w:pPr>
                    <w:pStyle w:val="Default"/>
                    <w:rPr>
                      <w:color w:val="auto"/>
                      <w:sz w:val="22"/>
                      <w:szCs w:val="22"/>
                    </w:rPr>
                  </w:pPr>
                  <w:r w:rsidRPr="00F5790F">
                    <w:rPr>
                      <w:rFonts w:hint="eastAsia"/>
                      <w:color w:val="auto"/>
                      <w:sz w:val="22"/>
                      <w:szCs w:val="22"/>
                    </w:rPr>
                    <w:t>草案原文</w:t>
                  </w:r>
                  <w:r w:rsidRPr="00F5790F">
                    <w:rPr>
                      <w:color w:val="auto"/>
                      <w:sz w:val="22"/>
                      <w:szCs w:val="22"/>
                    </w:rPr>
                    <w:t xml:space="preserve"> </w:t>
                  </w:r>
                </w:p>
              </w:tc>
              <w:tc>
                <w:tcPr>
                  <w:tcW w:w="2552" w:type="dxa"/>
                </w:tcPr>
                <w:p w:rsidR="005448E0" w:rsidRPr="00F5790F" w:rsidRDefault="005448E0" w:rsidP="00E3049A">
                  <w:pPr>
                    <w:pStyle w:val="Default"/>
                    <w:rPr>
                      <w:color w:val="auto"/>
                      <w:sz w:val="22"/>
                      <w:szCs w:val="22"/>
                    </w:rPr>
                  </w:pPr>
                  <w:r w:rsidRPr="00F5790F">
                    <w:rPr>
                      <w:rFonts w:hint="eastAsia"/>
                      <w:color w:val="auto"/>
                      <w:sz w:val="22"/>
                      <w:szCs w:val="22"/>
                    </w:rPr>
                    <w:t>建議</w:t>
                  </w:r>
                  <w:r w:rsidRPr="00F5790F">
                    <w:rPr>
                      <w:color w:val="auto"/>
                      <w:sz w:val="22"/>
                      <w:szCs w:val="22"/>
                    </w:rPr>
                    <w:t xml:space="preserve"> </w:t>
                  </w:r>
                </w:p>
              </w:tc>
              <w:tc>
                <w:tcPr>
                  <w:tcW w:w="2268" w:type="dxa"/>
                </w:tcPr>
                <w:p w:rsidR="005448E0" w:rsidRPr="00F5790F" w:rsidRDefault="005448E0" w:rsidP="00E3049A">
                  <w:pPr>
                    <w:pStyle w:val="Default"/>
                    <w:rPr>
                      <w:color w:val="auto"/>
                      <w:sz w:val="22"/>
                      <w:szCs w:val="22"/>
                    </w:rPr>
                  </w:pPr>
                  <w:r w:rsidRPr="00F5790F">
                    <w:rPr>
                      <w:rFonts w:hint="eastAsia"/>
                      <w:color w:val="auto"/>
                      <w:sz w:val="22"/>
                      <w:szCs w:val="22"/>
                    </w:rPr>
                    <w:t>理由</w:t>
                  </w:r>
                  <w:r w:rsidRPr="00F5790F">
                    <w:rPr>
                      <w:color w:val="auto"/>
                      <w:sz w:val="22"/>
                      <w:szCs w:val="22"/>
                    </w:rPr>
                    <w:t xml:space="preserve"> </w:t>
                  </w:r>
                </w:p>
              </w:tc>
            </w:tr>
            <w:tr w:rsidR="005448E0" w:rsidRPr="00614324" w:rsidTr="00D5506D">
              <w:trPr>
                <w:trHeight w:val="334"/>
              </w:trPr>
              <w:tc>
                <w:tcPr>
                  <w:tcW w:w="1242" w:type="dxa"/>
                </w:tcPr>
                <w:p w:rsidR="005448E0" w:rsidRPr="00F5790F" w:rsidRDefault="005448E0" w:rsidP="00E3049A">
                  <w:pPr>
                    <w:pStyle w:val="Default"/>
                    <w:rPr>
                      <w:rFonts w:ascii="SimSun" w:eastAsia="SimSun" w:cs="SimSun"/>
                      <w:color w:val="auto"/>
                      <w:sz w:val="22"/>
                      <w:szCs w:val="22"/>
                    </w:rPr>
                  </w:pPr>
                  <w:r w:rsidRPr="00F5790F">
                    <w:rPr>
                      <w:rFonts w:ascii="SimSun" w:eastAsia="SimSun" w:cs="SimSun" w:hint="eastAsia"/>
                      <w:color w:val="auto"/>
                      <w:sz w:val="22"/>
                      <w:szCs w:val="22"/>
                    </w:rPr>
                    <w:t>三</w:t>
                  </w:r>
                  <w:r w:rsidRPr="00F5790F">
                    <w:rPr>
                      <w:rFonts w:ascii="SimSun" w:eastAsia="SimSun" w:cs="SimSun"/>
                      <w:color w:val="auto"/>
                      <w:sz w:val="22"/>
                      <w:szCs w:val="22"/>
                    </w:rPr>
                    <w:t>.</w:t>
                  </w:r>
                  <w:r w:rsidRPr="00F5790F">
                    <w:rPr>
                      <w:rFonts w:ascii="SimSun" w:eastAsia="SimSun" w:cs="SimSun" w:hint="eastAsia"/>
                      <w:color w:val="auto"/>
                      <w:sz w:val="22"/>
                      <w:szCs w:val="22"/>
                    </w:rPr>
                    <w:t>生物藥品</w:t>
                  </w:r>
                  <w:r w:rsidRPr="00F5790F">
                    <w:rPr>
                      <w:rFonts w:ascii="SimSun" w:eastAsia="SimSun" w:cs="SimSun"/>
                      <w:color w:val="auto"/>
                      <w:sz w:val="22"/>
                      <w:szCs w:val="22"/>
                    </w:rPr>
                    <w:t xml:space="preserve"> </w:t>
                  </w:r>
                </w:p>
              </w:tc>
              <w:tc>
                <w:tcPr>
                  <w:tcW w:w="2246" w:type="dxa"/>
                </w:tcPr>
                <w:p w:rsidR="005448E0" w:rsidRPr="00F5790F" w:rsidRDefault="005448E0" w:rsidP="00E3049A">
                  <w:pPr>
                    <w:pStyle w:val="Default"/>
                    <w:rPr>
                      <w:color w:val="auto"/>
                      <w:sz w:val="22"/>
                      <w:szCs w:val="22"/>
                    </w:rPr>
                  </w:pPr>
                  <w:r w:rsidRPr="00F5790F">
                    <w:rPr>
                      <w:rFonts w:ascii="新細明體" w:eastAsia="新細明體" w:cs="新細明體"/>
                      <w:color w:val="auto"/>
                      <w:sz w:val="22"/>
                      <w:szCs w:val="22"/>
                    </w:rPr>
                    <w:t>(</w:t>
                  </w:r>
                  <w:r w:rsidRPr="00F5790F">
                    <w:rPr>
                      <w:rFonts w:hint="eastAsia"/>
                      <w:color w:val="auto"/>
                      <w:sz w:val="22"/>
                      <w:szCs w:val="22"/>
                    </w:rPr>
                    <w:t>三</w:t>
                  </w:r>
                  <w:r w:rsidRPr="00F5790F">
                    <w:rPr>
                      <w:rFonts w:ascii="新細明體" w:eastAsia="新細明體" w:cs="新細明體"/>
                      <w:color w:val="auto"/>
                      <w:sz w:val="22"/>
                      <w:szCs w:val="22"/>
                    </w:rPr>
                    <w:t xml:space="preserve">) </w:t>
                  </w:r>
                  <w:r w:rsidRPr="00F5790F">
                    <w:rPr>
                      <w:rFonts w:hint="eastAsia"/>
                      <w:color w:val="auto"/>
                      <w:sz w:val="22"/>
                      <w:szCs w:val="22"/>
                    </w:rPr>
                    <w:t>已審查過之生物藥品，其不同劑量包裝、不同產地之查驗登記，新臺幣十五萬元。</w:t>
                  </w:r>
                  <w:r w:rsidRPr="00F5790F">
                    <w:rPr>
                      <w:color w:val="auto"/>
                      <w:sz w:val="22"/>
                      <w:szCs w:val="22"/>
                    </w:rPr>
                    <w:t xml:space="preserve"> </w:t>
                  </w:r>
                </w:p>
              </w:tc>
              <w:tc>
                <w:tcPr>
                  <w:tcW w:w="2552" w:type="dxa"/>
                </w:tcPr>
                <w:p w:rsidR="005448E0" w:rsidRPr="00F5790F" w:rsidRDefault="005448E0" w:rsidP="00E3049A">
                  <w:pPr>
                    <w:pStyle w:val="Default"/>
                    <w:rPr>
                      <w:rFonts w:ascii="Times New Roman" w:hAnsi="Times New Roman" w:cs="Times New Roman"/>
                      <w:color w:val="auto"/>
                      <w:sz w:val="22"/>
                      <w:szCs w:val="22"/>
                    </w:rPr>
                  </w:pPr>
                  <w:r w:rsidRPr="00F5790F">
                    <w:rPr>
                      <w:rFonts w:ascii="Times New Roman" w:hAnsi="Times New Roman" w:cs="Times New Roman"/>
                      <w:color w:val="auto"/>
                      <w:sz w:val="22"/>
                      <w:szCs w:val="22"/>
                    </w:rPr>
                    <w:t>(</w:t>
                  </w:r>
                  <w:r w:rsidRPr="00F5790F">
                    <w:rPr>
                      <w:rFonts w:ascii="Times New Roman" w:hAnsi="Times New Roman" w:cs="Times New Roman" w:hint="eastAsia"/>
                      <w:color w:val="auto"/>
                      <w:sz w:val="22"/>
                      <w:szCs w:val="22"/>
                    </w:rPr>
                    <w:t>三</w:t>
                  </w:r>
                  <w:r w:rsidRPr="00F5790F">
                    <w:rPr>
                      <w:rFonts w:ascii="Times New Roman" w:hAnsi="Times New Roman" w:cs="Times New Roman"/>
                      <w:color w:val="auto"/>
                      <w:sz w:val="22"/>
                      <w:szCs w:val="22"/>
                    </w:rPr>
                    <w:t xml:space="preserve">) </w:t>
                  </w:r>
                  <w:r w:rsidRPr="00F5790F">
                    <w:rPr>
                      <w:rFonts w:ascii="Times New Roman" w:hAnsi="Times New Roman" w:cs="Times New Roman" w:hint="eastAsia"/>
                      <w:color w:val="auto"/>
                      <w:sz w:val="22"/>
                      <w:szCs w:val="22"/>
                    </w:rPr>
                    <w:t>已審查過之生物藥品，其不同劑量包裝、不同產地之查驗登記，新臺幣八萬元。</w:t>
                  </w:r>
                  <w:r w:rsidRPr="00F5790F">
                    <w:rPr>
                      <w:rFonts w:ascii="Times New Roman" w:hAnsi="Times New Roman" w:cs="Times New Roman"/>
                      <w:color w:val="auto"/>
                      <w:sz w:val="22"/>
                      <w:szCs w:val="22"/>
                    </w:rPr>
                    <w:t xml:space="preserve"> </w:t>
                  </w:r>
                </w:p>
              </w:tc>
              <w:tc>
                <w:tcPr>
                  <w:tcW w:w="2268" w:type="dxa"/>
                </w:tcPr>
                <w:p w:rsidR="005448E0" w:rsidRPr="00F5790F" w:rsidRDefault="005448E0" w:rsidP="00E3049A">
                  <w:pPr>
                    <w:rPr>
                      <w:sz w:val="22"/>
                    </w:rPr>
                  </w:pPr>
                  <w:r w:rsidRPr="00F5790F">
                    <w:rPr>
                      <w:rFonts w:hint="eastAsia"/>
                      <w:sz w:val="22"/>
                    </w:rPr>
                    <w:t>已審查過之生物藥品，其不同劑量包裝、不同產地之查驗登記之查驗登記，一般只需審查其</w:t>
                  </w:r>
                  <w:r w:rsidRPr="00F5790F">
                    <w:rPr>
                      <w:rFonts w:hint="eastAsia"/>
                      <w:sz w:val="22"/>
                    </w:rPr>
                    <w:t>cmc</w:t>
                  </w:r>
                  <w:r w:rsidRPr="00F5790F">
                    <w:rPr>
                      <w:rFonts w:hint="eastAsia"/>
                      <w:sz w:val="22"/>
                    </w:rPr>
                    <w:t>技術文件，不需檢送非臨床或臨床資料，其人力較審理全套生物藥品為少，與二</w:t>
                  </w:r>
                  <w:r w:rsidRPr="00F5790F">
                    <w:rPr>
                      <w:rFonts w:eastAsia="新細明體" w:hint="eastAsia"/>
                      <w:sz w:val="22"/>
                    </w:rPr>
                    <w:t>.</w:t>
                  </w:r>
                  <w:r w:rsidRPr="00F5790F">
                    <w:rPr>
                      <w:rFonts w:hint="eastAsia"/>
                      <w:sz w:val="22"/>
                    </w:rPr>
                    <w:t>一般製劑</w:t>
                  </w:r>
                  <w:r w:rsidRPr="00F5790F">
                    <w:rPr>
                      <w:rFonts w:eastAsia="新細明體" w:hint="eastAsia"/>
                      <w:sz w:val="22"/>
                    </w:rPr>
                    <w:t>(</w:t>
                  </w:r>
                  <w:r w:rsidRPr="00F5790F">
                    <w:rPr>
                      <w:rFonts w:hint="eastAsia"/>
                      <w:sz w:val="22"/>
                    </w:rPr>
                    <w:t>一</w:t>
                  </w:r>
                  <w:r w:rsidRPr="00F5790F">
                    <w:rPr>
                      <w:rFonts w:eastAsia="新細明體" w:hint="eastAsia"/>
                      <w:sz w:val="22"/>
                    </w:rPr>
                    <w:t>)</w:t>
                  </w:r>
                  <w:r w:rsidRPr="00F5790F">
                    <w:rPr>
                      <w:rFonts w:hint="eastAsia"/>
                      <w:sz w:val="22"/>
                    </w:rPr>
                    <w:t>監視學名藥之審查人力相當，故其審查費應調降。</w:t>
                  </w:r>
                  <w:r w:rsidRPr="00F5790F">
                    <w:rPr>
                      <w:rFonts w:hint="eastAsia"/>
                      <w:sz w:val="22"/>
                    </w:rPr>
                    <w:t xml:space="preserve"> </w:t>
                  </w:r>
                </w:p>
              </w:tc>
            </w:tr>
          </w:tbl>
          <w:p w:rsidR="005448E0" w:rsidRPr="00614324" w:rsidRDefault="005448E0" w:rsidP="00E3049A">
            <w:pPr>
              <w:rPr>
                <w:rFonts w:ascii="新細明體" w:eastAsia="新細明體" w:hAnsi="新細明體" w:cs="新細明體"/>
                <w:b/>
                <w:kern w:val="0"/>
                <w:sz w:val="23"/>
                <w:szCs w:val="23"/>
              </w:rPr>
            </w:pPr>
          </w:p>
        </w:tc>
        <w:tc>
          <w:tcPr>
            <w:tcW w:w="5103" w:type="dxa"/>
          </w:tcPr>
          <w:p w:rsidR="005448E0" w:rsidRPr="00614324" w:rsidRDefault="005448E0" w:rsidP="00E3049A">
            <w:r w:rsidRPr="00614324">
              <w:rPr>
                <w:rFonts w:hint="eastAsia"/>
                <w:kern w:val="0"/>
              </w:rPr>
              <w:t>因生物藥品之複雜性，其</w:t>
            </w:r>
            <w:r w:rsidRPr="00614324">
              <w:rPr>
                <w:kern w:val="0"/>
              </w:rPr>
              <w:t>CMC</w:t>
            </w:r>
            <w:r w:rsidRPr="00614324">
              <w:rPr>
                <w:rFonts w:hint="eastAsia"/>
                <w:kern w:val="0"/>
              </w:rPr>
              <w:t>審查也比化學藥品艱難，不能以學名藥審查規費計價。</w:t>
            </w:r>
          </w:p>
        </w:tc>
      </w:tr>
      <w:tr w:rsidR="005448E0" w:rsidRPr="00733040" w:rsidTr="00F5790F">
        <w:tc>
          <w:tcPr>
            <w:tcW w:w="404" w:type="dxa"/>
          </w:tcPr>
          <w:p w:rsidR="005448E0" w:rsidRPr="00614324" w:rsidRDefault="005448E0" w:rsidP="00E3049A">
            <w:r>
              <w:rPr>
                <w:rFonts w:hint="eastAsia"/>
              </w:rPr>
              <w:t>6</w:t>
            </w:r>
          </w:p>
        </w:tc>
        <w:tc>
          <w:tcPr>
            <w:tcW w:w="1206" w:type="dxa"/>
          </w:tcPr>
          <w:p w:rsidR="005448E0" w:rsidRPr="00614324" w:rsidRDefault="005448E0" w:rsidP="00E3049A">
            <w:r>
              <w:rPr>
                <w:rFonts w:hint="eastAsia"/>
              </w:rPr>
              <w:t>IRPMA</w:t>
            </w:r>
          </w:p>
        </w:tc>
        <w:tc>
          <w:tcPr>
            <w:tcW w:w="856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46"/>
              <w:gridCol w:w="2552"/>
              <w:gridCol w:w="2268"/>
            </w:tblGrid>
            <w:tr w:rsidR="005448E0" w:rsidRPr="00614324" w:rsidTr="00D5506D">
              <w:trPr>
                <w:trHeight w:val="119"/>
              </w:trPr>
              <w:tc>
                <w:tcPr>
                  <w:tcW w:w="1242" w:type="dxa"/>
                </w:tcPr>
                <w:p w:rsidR="005448E0" w:rsidRPr="00F5790F" w:rsidRDefault="005448E0" w:rsidP="00E3049A">
                  <w:pPr>
                    <w:pStyle w:val="Default"/>
                    <w:rPr>
                      <w:color w:val="auto"/>
                      <w:sz w:val="22"/>
                      <w:szCs w:val="22"/>
                    </w:rPr>
                  </w:pPr>
                  <w:r w:rsidRPr="00F5790F">
                    <w:rPr>
                      <w:rFonts w:hint="eastAsia"/>
                      <w:color w:val="auto"/>
                      <w:sz w:val="22"/>
                      <w:szCs w:val="22"/>
                    </w:rPr>
                    <w:t>第二條</w:t>
                  </w:r>
                  <w:r w:rsidRPr="00F5790F">
                    <w:rPr>
                      <w:color w:val="auto"/>
                      <w:sz w:val="22"/>
                      <w:szCs w:val="22"/>
                    </w:rPr>
                    <w:t xml:space="preserve"> </w:t>
                  </w:r>
                </w:p>
              </w:tc>
              <w:tc>
                <w:tcPr>
                  <w:tcW w:w="2246" w:type="dxa"/>
                </w:tcPr>
                <w:p w:rsidR="005448E0" w:rsidRPr="00F5790F" w:rsidRDefault="005448E0" w:rsidP="00E3049A">
                  <w:pPr>
                    <w:pStyle w:val="Default"/>
                    <w:rPr>
                      <w:color w:val="auto"/>
                      <w:sz w:val="22"/>
                      <w:szCs w:val="22"/>
                    </w:rPr>
                  </w:pPr>
                  <w:r w:rsidRPr="00F5790F">
                    <w:rPr>
                      <w:rFonts w:hint="eastAsia"/>
                      <w:color w:val="auto"/>
                      <w:sz w:val="22"/>
                      <w:szCs w:val="22"/>
                    </w:rPr>
                    <w:t>草案原文</w:t>
                  </w:r>
                  <w:r w:rsidRPr="00F5790F">
                    <w:rPr>
                      <w:color w:val="auto"/>
                      <w:sz w:val="22"/>
                      <w:szCs w:val="22"/>
                    </w:rPr>
                    <w:t xml:space="preserve"> </w:t>
                  </w:r>
                </w:p>
              </w:tc>
              <w:tc>
                <w:tcPr>
                  <w:tcW w:w="2552" w:type="dxa"/>
                </w:tcPr>
                <w:p w:rsidR="005448E0" w:rsidRPr="00F5790F" w:rsidRDefault="005448E0" w:rsidP="00E3049A">
                  <w:pPr>
                    <w:pStyle w:val="Default"/>
                    <w:rPr>
                      <w:color w:val="auto"/>
                      <w:sz w:val="22"/>
                      <w:szCs w:val="22"/>
                    </w:rPr>
                  </w:pPr>
                  <w:r w:rsidRPr="00F5790F">
                    <w:rPr>
                      <w:rFonts w:hint="eastAsia"/>
                      <w:color w:val="auto"/>
                      <w:sz w:val="22"/>
                      <w:szCs w:val="22"/>
                    </w:rPr>
                    <w:t>建議</w:t>
                  </w:r>
                  <w:r w:rsidRPr="00F5790F">
                    <w:rPr>
                      <w:color w:val="auto"/>
                      <w:sz w:val="22"/>
                      <w:szCs w:val="22"/>
                    </w:rPr>
                    <w:t xml:space="preserve"> </w:t>
                  </w:r>
                </w:p>
              </w:tc>
              <w:tc>
                <w:tcPr>
                  <w:tcW w:w="2268" w:type="dxa"/>
                </w:tcPr>
                <w:p w:rsidR="005448E0" w:rsidRPr="00F5790F" w:rsidRDefault="005448E0" w:rsidP="00E3049A">
                  <w:pPr>
                    <w:pStyle w:val="Default"/>
                    <w:rPr>
                      <w:color w:val="auto"/>
                      <w:sz w:val="22"/>
                      <w:szCs w:val="22"/>
                    </w:rPr>
                  </w:pPr>
                  <w:r w:rsidRPr="00F5790F">
                    <w:rPr>
                      <w:rFonts w:hint="eastAsia"/>
                      <w:color w:val="auto"/>
                      <w:sz w:val="22"/>
                      <w:szCs w:val="22"/>
                    </w:rPr>
                    <w:t>理由</w:t>
                  </w:r>
                  <w:r w:rsidRPr="00F5790F">
                    <w:rPr>
                      <w:color w:val="auto"/>
                      <w:sz w:val="22"/>
                      <w:szCs w:val="22"/>
                    </w:rPr>
                    <w:t xml:space="preserve"> </w:t>
                  </w:r>
                </w:p>
              </w:tc>
            </w:tr>
            <w:tr w:rsidR="005448E0" w:rsidRPr="00614324" w:rsidTr="00D5506D">
              <w:trPr>
                <w:trHeight w:val="964"/>
              </w:trPr>
              <w:tc>
                <w:tcPr>
                  <w:tcW w:w="1242" w:type="dxa"/>
                  <w:tcBorders>
                    <w:top w:val="single" w:sz="4" w:space="0" w:color="auto"/>
                    <w:left w:val="single" w:sz="4" w:space="0" w:color="auto"/>
                    <w:bottom w:val="single" w:sz="4" w:space="0" w:color="auto"/>
                    <w:right w:val="single" w:sz="4" w:space="0" w:color="auto"/>
                  </w:tcBorders>
                </w:tcPr>
                <w:p w:rsidR="005448E0" w:rsidRPr="00F5790F" w:rsidRDefault="005448E0" w:rsidP="00E3049A">
                  <w:pPr>
                    <w:pStyle w:val="Default"/>
                    <w:rPr>
                      <w:rFonts w:ascii="SimSun" w:eastAsia="SimSun" w:cs="SimSun"/>
                      <w:color w:val="auto"/>
                      <w:sz w:val="22"/>
                      <w:szCs w:val="22"/>
                    </w:rPr>
                  </w:pPr>
                  <w:r w:rsidRPr="00F5790F">
                    <w:rPr>
                      <w:rFonts w:hint="eastAsia"/>
                      <w:color w:val="auto"/>
                      <w:sz w:val="22"/>
                      <w:szCs w:val="22"/>
                    </w:rPr>
                    <w:t>四</w:t>
                  </w:r>
                  <w:r w:rsidRPr="00F5790F">
                    <w:rPr>
                      <w:color w:val="auto"/>
                      <w:sz w:val="22"/>
                      <w:szCs w:val="22"/>
                    </w:rPr>
                    <w:t xml:space="preserve">. </w:t>
                  </w:r>
                  <w:r w:rsidRPr="00F5790F">
                    <w:rPr>
                      <w:rFonts w:hint="eastAsia"/>
                      <w:color w:val="auto"/>
                      <w:sz w:val="22"/>
                      <w:szCs w:val="22"/>
                    </w:rPr>
                    <w:t>藥品臨床試驗</w:t>
                  </w:r>
                </w:p>
              </w:tc>
              <w:tc>
                <w:tcPr>
                  <w:tcW w:w="2246" w:type="dxa"/>
                  <w:tcBorders>
                    <w:top w:val="single" w:sz="4" w:space="0" w:color="auto"/>
                    <w:left w:val="single" w:sz="4" w:space="0" w:color="auto"/>
                    <w:bottom w:val="single" w:sz="4" w:space="0" w:color="auto"/>
                    <w:right w:val="single" w:sz="4" w:space="0" w:color="auto"/>
                  </w:tcBorders>
                </w:tcPr>
                <w:p w:rsidR="005448E0" w:rsidRPr="00F5790F" w:rsidRDefault="005448E0" w:rsidP="00E3049A">
                  <w:pPr>
                    <w:pStyle w:val="Default"/>
                    <w:rPr>
                      <w:color w:val="auto"/>
                      <w:sz w:val="22"/>
                      <w:szCs w:val="22"/>
                    </w:rPr>
                  </w:pPr>
                  <w:r w:rsidRPr="00F5790F">
                    <w:rPr>
                      <w:color w:val="auto"/>
                      <w:sz w:val="22"/>
                      <w:szCs w:val="22"/>
                    </w:rPr>
                    <w:t>(</w:t>
                  </w:r>
                  <w:r w:rsidRPr="00F5790F">
                    <w:rPr>
                      <w:rFonts w:hint="eastAsia"/>
                      <w:color w:val="auto"/>
                      <w:sz w:val="22"/>
                      <w:szCs w:val="22"/>
                    </w:rPr>
                    <w:t>二</w:t>
                  </w:r>
                  <w:r w:rsidRPr="00F5790F">
                    <w:rPr>
                      <w:color w:val="auto"/>
                      <w:sz w:val="22"/>
                      <w:szCs w:val="22"/>
                    </w:rPr>
                    <w:t xml:space="preserve">) </w:t>
                  </w:r>
                  <w:r w:rsidRPr="00F5790F">
                    <w:rPr>
                      <w:rFonts w:hint="eastAsia"/>
                      <w:color w:val="auto"/>
                      <w:sz w:val="22"/>
                      <w:szCs w:val="22"/>
                    </w:rPr>
                    <w:t>藥品臨床試驗報告書查核，新臺幣二萬元</w:t>
                  </w:r>
                </w:p>
              </w:tc>
              <w:tc>
                <w:tcPr>
                  <w:tcW w:w="2552" w:type="dxa"/>
                  <w:tcBorders>
                    <w:top w:val="single" w:sz="4" w:space="0" w:color="auto"/>
                    <w:left w:val="single" w:sz="4" w:space="0" w:color="auto"/>
                    <w:bottom w:val="single" w:sz="4" w:space="0" w:color="auto"/>
                    <w:right w:val="single" w:sz="4" w:space="0" w:color="auto"/>
                  </w:tcBorders>
                </w:tcPr>
                <w:p w:rsidR="005448E0" w:rsidRPr="00F5790F" w:rsidRDefault="005448E0" w:rsidP="00E3049A">
                  <w:pPr>
                    <w:pStyle w:val="Default"/>
                    <w:rPr>
                      <w:rFonts w:ascii="Times New Roman" w:hAnsi="Times New Roman" w:cs="Times New Roman"/>
                      <w:color w:val="auto"/>
                      <w:sz w:val="22"/>
                      <w:szCs w:val="22"/>
                    </w:rPr>
                  </w:pPr>
                  <w:r w:rsidRPr="00F5790F">
                    <w:rPr>
                      <w:rFonts w:hint="eastAsia"/>
                      <w:color w:val="auto"/>
                      <w:sz w:val="22"/>
                      <w:szCs w:val="22"/>
                    </w:rPr>
                    <w:t>請問是只包含供查驗登記用的臨床試驗報告書嗎</w:t>
                  </w:r>
                  <w:r w:rsidRPr="00F5790F">
                    <w:rPr>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5448E0" w:rsidRPr="00F5790F" w:rsidRDefault="005448E0" w:rsidP="00E3049A">
                  <w:pPr>
                    <w:rPr>
                      <w:sz w:val="22"/>
                    </w:rPr>
                  </w:pPr>
                </w:p>
              </w:tc>
            </w:tr>
            <w:tr w:rsidR="005448E0" w:rsidRPr="00614324" w:rsidTr="00D5506D">
              <w:trPr>
                <w:trHeight w:val="2426"/>
              </w:trPr>
              <w:tc>
                <w:tcPr>
                  <w:tcW w:w="1242" w:type="dxa"/>
                  <w:tcBorders>
                    <w:top w:val="single" w:sz="4" w:space="0" w:color="auto"/>
                    <w:left w:val="single" w:sz="4" w:space="0" w:color="auto"/>
                    <w:bottom w:val="single" w:sz="4" w:space="0" w:color="auto"/>
                    <w:right w:val="single" w:sz="4" w:space="0" w:color="auto"/>
                  </w:tcBorders>
                </w:tcPr>
                <w:p w:rsidR="005448E0" w:rsidRPr="00F5790F" w:rsidRDefault="005448E0" w:rsidP="00E3049A">
                  <w:pPr>
                    <w:pStyle w:val="Default"/>
                    <w:rPr>
                      <w:color w:val="auto"/>
                      <w:sz w:val="22"/>
                      <w:szCs w:val="22"/>
                    </w:rPr>
                  </w:pPr>
                </w:p>
              </w:tc>
              <w:tc>
                <w:tcPr>
                  <w:tcW w:w="2246" w:type="dxa"/>
                  <w:tcBorders>
                    <w:top w:val="single" w:sz="4" w:space="0" w:color="auto"/>
                    <w:left w:val="single" w:sz="4" w:space="0" w:color="auto"/>
                    <w:bottom w:val="single" w:sz="4" w:space="0" w:color="auto"/>
                    <w:right w:val="single" w:sz="4" w:space="0" w:color="auto"/>
                  </w:tcBorders>
                </w:tcPr>
                <w:p w:rsidR="005448E0" w:rsidRPr="00F5790F" w:rsidRDefault="005448E0" w:rsidP="00E3049A">
                  <w:pPr>
                    <w:pStyle w:val="Default"/>
                    <w:rPr>
                      <w:color w:val="auto"/>
                      <w:sz w:val="22"/>
                      <w:szCs w:val="22"/>
                    </w:rPr>
                  </w:pPr>
                  <w:r w:rsidRPr="00F5790F">
                    <w:rPr>
                      <w:color w:val="auto"/>
                      <w:sz w:val="22"/>
                      <w:szCs w:val="22"/>
                    </w:rPr>
                    <w:t>(</w:t>
                  </w:r>
                  <w:r w:rsidRPr="00F5790F">
                    <w:rPr>
                      <w:rFonts w:hint="eastAsia"/>
                      <w:color w:val="auto"/>
                      <w:sz w:val="22"/>
                      <w:szCs w:val="22"/>
                    </w:rPr>
                    <w:t>三</w:t>
                  </w:r>
                  <w:r w:rsidRPr="00F5790F">
                    <w:rPr>
                      <w:color w:val="auto"/>
                      <w:sz w:val="22"/>
                      <w:szCs w:val="22"/>
                    </w:rPr>
                    <w:t xml:space="preserve">) </w:t>
                  </w:r>
                  <w:r w:rsidRPr="00F5790F">
                    <w:rPr>
                      <w:rFonts w:hint="eastAsia"/>
                      <w:color w:val="auto"/>
                      <w:sz w:val="22"/>
                      <w:szCs w:val="22"/>
                    </w:rPr>
                    <w:t>藥品臨床試驗變更審查，新臺幣五千元</w:t>
                  </w:r>
                  <w:r w:rsidRPr="00F5790F">
                    <w:rPr>
                      <w:color w:val="auto"/>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tcPr>
                <w:p w:rsidR="005448E0" w:rsidRPr="00F5790F" w:rsidRDefault="005448E0" w:rsidP="00E3049A">
                  <w:pPr>
                    <w:pStyle w:val="Default"/>
                    <w:rPr>
                      <w:color w:val="auto"/>
                      <w:sz w:val="22"/>
                      <w:szCs w:val="22"/>
                    </w:rPr>
                  </w:pPr>
                  <w:r w:rsidRPr="00F5790F">
                    <w:rPr>
                      <w:rFonts w:hint="eastAsia"/>
                      <w:color w:val="auto"/>
                      <w:sz w:val="22"/>
                      <w:szCs w:val="22"/>
                    </w:rPr>
                    <w:t>請問是只包含藥品臨床試驗計畫變更嗎</w:t>
                  </w:r>
                  <w:r w:rsidRPr="00F5790F">
                    <w:rPr>
                      <w:color w:val="auto"/>
                      <w:sz w:val="22"/>
                      <w:szCs w:val="22"/>
                    </w:rPr>
                    <w:t xml:space="preserve">? </w:t>
                  </w:r>
                  <w:r w:rsidRPr="00F5790F">
                    <w:rPr>
                      <w:rFonts w:hint="eastAsia"/>
                      <w:color w:val="auto"/>
                      <w:sz w:val="22"/>
                      <w:szCs w:val="22"/>
                    </w:rPr>
                    <w:t>須請</w:t>
                  </w:r>
                  <w:r w:rsidRPr="00F5790F">
                    <w:rPr>
                      <w:color w:val="auto"/>
                      <w:sz w:val="22"/>
                      <w:szCs w:val="22"/>
                    </w:rPr>
                    <w:t>TFDA</w:t>
                  </w:r>
                  <w:r w:rsidRPr="00F5790F">
                    <w:rPr>
                      <w:rFonts w:hint="eastAsia"/>
                      <w:color w:val="auto"/>
                      <w:sz w:val="22"/>
                      <w:szCs w:val="22"/>
                    </w:rPr>
                    <w:t>定義清楚藥品臨床試驗變更，是不是只有臨床試驗計畫變更</w:t>
                  </w:r>
                  <w:r w:rsidRPr="00F5790F">
                    <w:rPr>
                      <w:color w:val="auto"/>
                      <w:sz w:val="22"/>
                      <w:szCs w:val="22"/>
                    </w:rPr>
                    <w:t xml:space="preserve">, </w:t>
                  </w:r>
                  <w:r w:rsidRPr="00F5790F">
                    <w:rPr>
                      <w:rFonts w:hint="eastAsia"/>
                      <w:color w:val="auto"/>
                      <w:sz w:val="22"/>
                      <w:szCs w:val="22"/>
                    </w:rPr>
                    <w:t>受試者同意書的變更</w:t>
                  </w:r>
                  <w:r w:rsidRPr="00F5790F">
                    <w:rPr>
                      <w:color w:val="auto"/>
                      <w:sz w:val="22"/>
                      <w:szCs w:val="22"/>
                    </w:rPr>
                    <w:t>, CRF,IB</w:t>
                  </w:r>
                  <w:r w:rsidRPr="00F5790F">
                    <w:rPr>
                      <w:rFonts w:hint="eastAsia"/>
                      <w:color w:val="auto"/>
                      <w:sz w:val="22"/>
                      <w:szCs w:val="22"/>
                    </w:rPr>
                    <w:t>的變更並不包含於內呢</w:t>
                  </w:r>
                  <w:r w:rsidRPr="00F5790F">
                    <w:rPr>
                      <w:color w:val="auto"/>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rsidR="005448E0" w:rsidRPr="00F5790F" w:rsidRDefault="005448E0" w:rsidP="00E3049A">
                  <w:pPr>
                    <w:rPr>
                      <w:sz w:val="22"/>
                    </w:rPr>
                  </w:pPr>
                </w:p>
              </w:tc>
            </w:tr>
          </w:tbl>
          <w:p w:rsidR="005448E0" w:rsidRPr="00614324" w:rsidRDefault="005448E0" w:rsidP="00E3049A">
            <w:pPr>
              <w:tabs>
                <w:tab w:val="left" w:pos="0"/>
              </w:tabs>
              <w:spacing w:line="240" w:lineRule="atLeast"/>
              <w:rPr>
                <w:rFonts w:ascii="新細明體" w:eastAsia="新細明體" w:hAnsi="新細明體" w:cs="新細明體"/>
                <w:b/>
                <w:kern w:val="0"/>
                <w:sz w:val="23"/>
                <w:szCs w:val="23"/>
              </w:rPr>
            </w:pPr>
          </w:p>
        </w:tc>
        <w:tc>
          <w:tcPr>
            <w:tcW w:w="5103" w:type="dxa"/>
            <w:shd w:val="clear" w:color="auto" w:fill="FFFFFF" w:themeFill="background1"/>
          </w:tcPr>
          <w:p w:rsidR="005448E0" w:rsidRPr="007C0D98" w:rsidRDefault="005448E0" w:rsidP="00E3049A">
            <w:r w:rsidRPr="007C0D98">
              <w:t>(</w:t>
            </w:r>
            <w:r w:rsidRPr="007C0D98">
              <w:rPr>
                <w:rFonts w:hint="eastAsia"/>
              </w:rPr>
              <w:t>二</w:t>
            </w:r>
            <w:r w:rsidRPr="007C0D98">
              <w:t>)</w:t>
            </w:r>
            <w:r w:rsidRPr="007C0D98">
              <w:rPr>
                <w:rFonts w:hint="eastAsia"/>
              </w:rPr>
              <w:t>本項收費僅針對現行供查驗登記用臨床試驗報告書，另本草案條文文字誤植，應修正為藥品臨床試驗報告書</w:t>
            </w:r>
            <w:r w:rsidRPr="007C0D98">
              <w:rPr>
                <w:rFonts w:asciiTheme="minorEastAsia" w:hAnsiTheme="minorEastAsia" w:hint="eastAsia"/>
              </w:rPr>
              <w:t>「</w:t>
            </w:r>
            <w:r w:rsidRPr="007C0D98">
              <w:rPr>
                <w:rFonts w:hint="eastAsia"/>
              </w:rPr>
              <w:t>審查</w:t>
            </w:r>
            <w:r w:rsidRPr="007C0D98">
              <w:rPr>
                <w:rFonts w:asciiTheme="minorEastAsia" w:hAnsiTheme="minorEastAsia" w:hint="eastAsia"/>
              </w:rPr>
              <w:t>」</w:t>
            </w:r>
            <w:r w:rsidRPr="007C0D98">
              <w:rPr>
                <w:rFonts w:hint="eastAsia"/>
              </w:rPr>
              <w:t>。</w:t>
            </w:r>
          </w:p>
          <w:p w:rsidR="005448E0" w:rsidRPr="00733040" w:rsidRDefault="005448E0" w:rsidP="00E3049A">
            <w:r w:rsidRPr="007C0D98">
              <w:rPr>
                <w:kern w:val="0"/>
              </w:rPr>
              <w:t>(</w:t>
            </w:r>
            <w:r w:rsidRPr="007C0D98">
              <w:rPr>
                <w:rFonts w:hint="eastAsia"/>
                <w:kern w:val="0"/>
              </w:rPr>
              <w:t>三</w:t>
            </w:r>
            <w:r w:rsidRPr="007C0D98">
              <w:rPr>
                <w:kern w:val="0"/>
              </w:rPr>
              <w:t>)</w:t>
            </w:r>
            <w:r w:rsidRPr="007C0D98">
              <w:rPr>
                <w:rFonts w:hint="eastAsia"/>
                <w:kern w:val="0"/>
              </w:rPr>
              <w:t>此項變更收費不僅限於計畫書之變更，亦包含藥品臨床試驗計畫相關變更案件。</w:t>
            </w:r>
          </w:p>
        </w:tc>
      </w:tr>
      <w:tr w:rsidR="007C0D98" w:rsidRPr="00614324" w:rsidTr="00F5790F">
        <w:trPr>
          <w:trHeight w:val="3619"/>
        </w:trPr>
        <w:tc>
          <w:tcPr>
            <w:tcW w:w="404" w:type="dxa"/>
          </w:tcPr>
          <w:p w:rsidR="007C0D98" w:rsidRPr="00D34C4E" w:rsidRDefault="005448E0" w:rsidP="008332EF">
            <w:pPr>
              <w:jc w:val="center"/>
              <w:rPr>
                <w:sz w:val="20"/>
                <w:szCs w:val="20"/>
              </w:rPr>
            </w:pPr>
            <w:r>
              <w:rPr>
                <w:rFonts w:hint="eastAsia"/>
                <w:sz w:val="20"/>
                <w:szCs w:val="20"/>
              </w:rPr>
              <w:t>7</w:t>
            </w:r>
          </w:p>
        </w:tc>
        <w:tc>
          <w:tcPr>
            <w:tcW w:w="1206" w:type="dxa"/>
          </w:tcPr>
          <w:p w:rsidR="007C0D98" w:rsidRPr="00614324" w:rsidRDefault="007C0D98" w:rsidP="008332EF">
            <w:r w:rsidRPr="00614324">
              <w:rPr>
                <w:rFonts w:hint="eastAsia"/>
              </w:rPr>
              <w:t>台灣神隆</w:t>
            </w:r>
          </w:p>
        </w:tc>
        <w:tc>
          <w:tcPr>
            <w:tcW w:w="8563" w:type="dxa"/>
          </w:tcPr>
          <w:p w:rsidR="007C0D98" w:rsidRPr="00F5790F" w:rsidRDefault="007C0D98" w:rsidP="005F5520">
            <w:pPr>
              <w:spacing w:line="0" w:lineRule="atLeast"/>
              <w:rPr>
                <w:b/>
                <w:sz w:val="23"/>
                <w:szCs w:val="23"/>
              </w:rPr>
            </w:pPr>
            <w:r w:rsidRPr="00F5790F">
              <w:rPr>
                <w:rFonts w:hint="eastAsia"/>
                <w:b/>
                <w:sz w:val="23"/>
                <w:szCs w:val="23"/>
              </w:rPr>
              <w:t>六、原料藥</w:t>
            </w:r>
            <w:r w:rsidRPr="00F5790F">
              <w:rPr>
                <w:rFonts w:hint="eastAsia"/>
                <w:b/>
                <w:sz w:val="23"/>
                <w:szCs w:val="23"/>
              </w:rPr>
              <w:t>(</w:t>
            </w:r>
            <w:r w:rsidRPr="00F5790F">
              <w:rPr>
                <w:rFonts w:hint="eastAsia"/>
                <w:b/>
                <w:sz w:val="23"/>
                <w:szCs w:val="23"/>
              </w:rPr>
              <w:t>一</w:t>
            </w:r>
            <w:r w:rsidRPr="00F5790F">
              <w:rPr>
                <w:rFonts w:hint="eastAsia"/>
                <w:b/>
                <w:sz w:val="23"/>
                <w:szCs w:val="23"/>
              </w:rPr>
              <w:t>)</w:t>
            </w:r>
            <w:r w:rsidRPr="00F5790F">
              <w:rPr>
                <w:rFonts w:hint="eastAsia"/>
                <w:b/>
                <w:sz w:val="23"/>
                <w:szCs w:val="23"/>
              </w:rPr>
              <w:t>供藥廠製造藥品之原料藥查驗登記或技術性資料審查</w:t>
            </w:r>
            <w:r w:rsidRPr="00F5790F">
              <w:rPr>
                <w:rFonts w:hint="eastAsia"/>
                <w:b/>
                <w:sz w:val="23"/>
                <w:szCs w:val="23"/>
              </w:rPr>
              <w:t>(</w:t>
            </w:r>
            <w:r w:rsidRPr="00F5790F">
              <w:rPr>
                <w:rFonts w:hint="eastAsia"/>
                <w:b/>
                <w:sz w:val="23"/>
                <w:szCs w:val="23"/>
              </w:rPr>
              <w:t>原收費</w:t>
            </w:r>
            <w:r w:rsidRPr="00F5790F">
              <w:rPr>
                <w:rFonts w:hint="eastAsia"/>
                <w:b/>
                <w:sz w:val="23"/>
                <w:szCs w:val="23"/>
              </w:rPr>
              <w:t>3</w:t>
            </w:r>
            <w:r w:rsidRPr="00F5790F">
              <w:rPr>
                <w:rFonts w:hint="eastAsia"/>
                <w:b/>
                <w:sz w:val="23"/>
                <w:szCs w:val="23"/>
              </w:rPr>
              <w:t>萬元，新收費為</w:t>
            </w:r>
            <w:r w:rsidRPr="00F5790F">
              <w:rPr>
                <w:rFonts w:hint="eastAsia"/>
                <w:b/>
                <w:sz w:val="23"/>
                <w:szCs w:val="23"/>
              </w:rPr>
              <w:t>6</w:t>
            </w:r>
            <w:r w:rsidRPr="00F5790F">
              <w:rPr>
                <w:rFonts w:hint="eastAsia"/>
                <w:b/>
                <w:sz w:val="23"/>
                <w:szCs w:val="23"/>
              </w:rPr>
              <w:t>萬元</w:t>
            </w:r>
            <w:r w:rsidRPr="00F5790F">
              <w:rPr>
                <w:rFonts w:hint="eastAsia"/>
                <w:b/>
                <w:sz w:val="23"/>
                <w:szCs w:val="23"/>
              </w:rPr>
              <w:t>)</w:t>
            </w:r>
          </w:p>
          <w:p w:rsidR="007C0D98" w:rsidRPr="00F5790F" w:rsidRDefault="007C0D98" w:rsidP="001461F0">
            <w:pPr>
              <w:pStyle w:val="a4"/>
              <w:numPr>
                <w:ilvl w:val="0"/>
                <w:numId w:val="20"/>
              </w:numPr>
              <w:spacing w:line="0" w:lineRule="atLeast"/>
              <w:ind w:leftChars="0"/>
              <w:rPr>
                <w:sz w:val="23"/>
                <w:szCs w:val="23"/>
              </w:rPr>
            </w:pPr>
            <w:r w:rsidRPr="00F5790F">
              <w:rPr>
                <w:rFonts w:hint="eastAsia"/>
                <w:sz w:val="23"/>
                <w:szCs w:val="23"/>
              </w:rPr>
              <w:t>一般國際上，原料藥查驗登記皆不需付費</w:t>
            </w:r>
            <w:r w:rsidRPr="00F5790F">
              <w:rPr>
                <w:rFonts w:hint="eastAsia"/>
                <w:sz w:val="23"/>
                <w:szCs w:val="23"/>
              </w:rPr>
              <w:t>(</w:t>
            </w:r>
            <w:r w:rsidRPr="00F5790F">
              <w:rPr>
                <w:rFonts w:hint="eastAsia"/>
                <w:sz w:val="23"/>
                <w:szCs w:val="23"/>
              </w:rPr>
              <w:t>例如，美國</w:t>
            </w:r>
            <w:r w:rsidRPr="00F5790F">
              <w:rPr>
                <w:rFonts w:hint="eastAsia"/>
                <w:sz w:val="23"/>
                <w:szCs w:val="23"/>
              </w:rPr>
              <w:t>NDA</w:t>
            </w:r>
            <w:r w:rsidRPr="00F5790F">
              <w:rPr>
                <w:rFonts w:hint="eastAsia"/>
                <w:sz w:val="23"/>
                <w:szCs w:val="23"/>
              </w:rPr>
              <w:t>註冊，僅向製劑廠收費，原料藥廠不需付費</w:t>
            </w:r>
            <w:r w:rsidRPr="00F5790F">
              <w:rPr>
                <w:rFonts w:hint="eastAsia"/>
                <w:sz w:val="23"/>
                <w:szCs w:val="23"/>
              </w:rPr>
              <w:t>)</w:t>
            </w:r>
            <w:r w:rsidRPr="00F5790F">
              <w:rPr>
                <w:rFonts w:hint="eastAsia"/>
                <w:sz w:val="23"/>
                <w:szCs w:val="23"/>
              </w:rPr>
              <w:t>或比製劑廠低，如美國</w:t>
            </w:r>
            <w:r w:rsidRPr="00F5790F">
              <w:rPr>
                <w:rFonts w:hint="eastAsia"/>
                <w:sz w:val="23"/>
                <w:szCs w:val="23"/>
              </w:rPr>
              <w:t>GDUDA</w:t>
            </w:r>
            <w:r w:rsidRPr="00F5790F">
              <w:rPr>
                <w:rFonts w:hint="eastAsia"/>
                <w:sz w:val="23"/>
                <w:szCs w:val="23"/>
              </w:rPr>
              <w:t>，</w:t>
            </w:r>
            <w:r w:rsidRPr="00F5790F">
              <w:rPr>
                <w:rFonts w:hint="eastAsia"/>
                <w:sz w:val="23"/>
                <w:szCs w:val="23"/>
              </w:rPr>
              <w:t>2015</w:t>
            </w:r>
            <w:r w:rsidRPr="00F5790F">
              <w:rPr>
                <w:rFonts w:hint="eastAsia"/>
                <w:sz w:val="23"/>
                <w:szCs w:val="23"/>
              </w:rPr>
              <w:t>年製劑註冊費用為</w:t>
            </w:r>
            <w:r w:rsidRPr="00F5790F">
              <w:rPr>
                <w:rFonts w:hint="eastAsia"/>
                <w:sz w:val="23"/>
                <w:szCs w:val="23"/>
              </w:rPr>
              <w:t>US $58,730</w:t>
            </w:r>
            <w:r w:rsidRPr="00F5790F">
              <w:rPr>
                <w:rFonts w:hint="eastAsia"/>
                <w:sz w:val="23"/>
                <w:szCs w:val="23"/>
              </w:rPr>
              <w:t>美元，而原料藥為</w:t>
            </w:r>
            <w:r w:rsidRPr="00F5790F">
              <w:rPr>
                <w:rFonts w:hint="eastAsia"/>
                <w:sz w:val="23"/>
                <w:szCs w:val="23"/>
              </w:rPr>
              <w:t>US $26,720</w:t>
            </w:r>
            <w:r w:rsidRPr="00F5790F">
              <w:rPr>
                <w:rFonts w:hint="eastAsia"/>
                <w:sz w:val="23"/>
                <w:szCs w:val="23"/>
              </w:rPr>
              <w:t>美元。原料藥的查驗登記費用宜低於製劑的非監視藥品的新台幣</w:t>
            </w:r>
            <w:r w:rsidRPr="00F5790F">
              <w:rPr>
                <w:rFonts w:hint="eastAsia"/>
                <w:sz w:val="23"/>
                <w:szCs w:val="23"/>
              </w:rPr>
              <w:t>5</w:t>
            </w:r>
            <w:r w:rsidRPr="00F5790F">
              <w:rPr>
                <w:rFonts w:hint="eastAsia"/>
                <w:sz w:val="23"/>
                <w:szCs w:val="23"/>
              </w:rPr>
              <w:t>萬元。</w:t>
            </w:r>
          </w:p>
          <w:p w:rsidR="007C0D98" w:rsidRPr="00F5790F" w:rsidRDefault="007C0D98" w:rsidP="001461F0">
            <w:pPr>
              <w:pStyle w:val="a4"/>
              <w:numPr>
                <w:ilvl w:val="0"/>
                <w:numId w:val="20"/>
              </w:numPr>
              <w:spacing w:line="0" w:lineRule="atLeast"/>
              <w:ind w:leftChars="0"/>
              <w:rPr>
                <w:sz w:val="23"/>
                <w:szCs w:val="23"/>
              </w:rPr>
            </w:pPr>
            <w:r w:rsidRPr="00F5790F">
              <w:rPr>
                <w:rFonts w:hint="eastAsia"/>
                <w:sz w:val="23"/>
                <w:szCs w:val="23"/>
              </w:rPr>
              <w:t>原料藥之內銷與外銷應分開管理，宜鼓勵外銷。目前，其他國家對於外銷原料藥並不需審核付費，費用應減低或免除，以鼓勵外銷。</w:t>
            </w:r>
          </w:p>
          <w:p w:rsidR="007C0D98" w:rsidRPr="00F5790F" w:rsidRDefault="007C0D98" w:rsidP="002676AE">
            <w:pPr>
              <w:pStyle w:val="a4"/>
              <w:spacing w:line="0" w:lineRule="atLeast"/>
              <w:ind w:leftChars="0" w:left="360"/>
              <w:rPr>
                <w:sz w:val="23"/>
                <w:szCs w:val="23"/>
              </w:rPr>
            </w:pPr>
            <w:r w:rsidRPr="00F5790F">
              <w:rPr>
                <w:rFonts w:hint="eastAsia"/>
                <w:sz w:val="23"/>
                <w:szCs w:val="23"/>
              </w:rPr>
              <w:t>附註</w:t>
            </w:r>
            <w:r w:rsidRPr="00F5790F">
              <w:rPr>
                <w:rFonts w:hint="eastAsia"/>
                <w:sz w:val="23"/>
                <w:szCs w:val="23"/>
              </w:rPr>
              <w:t>(1):</w:t>
            </w:r>
            <w:r w:rsidRPr="00F5790F">
              <w:rPr>
                <w:rFonts w:hint="eastAsia"/>
                <w:sz w:val="23"/>
                <w:szCs w:val="23"/>
              </w:rPr>
              <w:t>外銷專用許可證已採臨櫃辦理，接受簡化文件，當日領證，文件審理不需太多人力，不應與內銷許可證</w:t>
            </w:r>
            <w:r w:rsidRPr="00F5790F">
              <w:rPr>
                <w:rFonts w:hint="eastAsia"/>
                <w:sz w:val="23"/>
                <w:szCs w:val="23"/>
              </w:rPr>
              <w:t>(</w:t>
            </w:r>
            <w:r w:rsidRPr="00F5790F">
              <w:rPr>
                <w:rFonts w:hint="eastAsia"/>
                <w:sz w:val="23"/>
                <w:szCs w:val="23"/>
              </w:rPr>
              <w:t>審核時間需要數月</w:t>
            </w:r>
            <w:r w:rsidRPr="00F5790F">
              <w:rPr>
                <w:rFonts w:hint="eastAsia"/>
                <w:sz w:val="23"/>
                <w:szCs w:val="23"/>
              </w:rPr>
              <w:t>)</w:t>
            </w:r>
            <w:r w:rsidRPr="00F5790F">
              <w:rPr>
                <w:rFonts w:hint="eastAsia"/>
                <w:sz w:val="23"/>
                <w:szCs w:val="23"/>
              </w:rPr>
              <w:t>採用同樣收費。</w:t>
            </w:r>
          </w:p>
          <w:p w:rsidR="007C0D98" w:rsidRPr="00614324" w:rsidRDefault="007C0D98" w:rsidP="002676AE">
            <w:pPr>
              <w:pStyle w:val="a4"/>
              <w:spacing w:line="0" w:lineRule="atLeast"/>
              <w:ind w:leftChars="0" w:left="360"/>
            </w:pPr>
            <w:r w:rsidRPr="00F5790F">
              <w:rPr>
                <w:rFonts w:hint="eastAsia"/>
                <w:sz w:val="23"/>
                <w:szCs w:val="23"/>
              </w:rPr>
              <w:t>附註</w:t>
            </w:r>
            <w:r w:rsidRPr="00F5790F">
              <w:rPr>
                <w:rFonts w:hint="eastAsia"/>
                <w:sz w:val="23"/>
                <w:szCs w:val="23"/>
              </w:rPr>
              <w:t>(2):</w:t>
            </w:r>
            <w:r w:rsidRPr="00F5790F">
              <w:rPr>
                <w:rFonts w:hint="eastAsia"/>
                <w:sz w:val="23"/>
                <w:szCs w:val="23"/>
              </w:rPr>
              <w:t>外銷用製劑許可證費用調整為</w:t>
            </w:r>
            <w:r w:rsidRPr="00F5790F">
              <w:rPr>
                <w:rFonts w:hint="eastAsia"/>
                <w:sz w:val="23"/>
                <w:szCs w:val="23"/>
              </w:rPr>
              <w:t>3</w:t>
            </w:r>
            <w:r w:rsidRPr="00F5790F">
              <w:rPr>
                <w:rFonts w:hint="eastAsia"/>
                <w:sz w:val="23"/>
                <w:szCs w:val="23"/>
              </w:rPr>
              <w:t>萬</w:t>
            </w:r>
            <w:r w:rsidRPr="00F5790F">
              <w:rPr>
                <w:rFonts w:hint="eastAsia"/>
                <w:sz w:val="23"/>
                <w:szCs w:val="23"/>
              </w:rPr>
              <w:t>5</w:t>
            </w:r>
            <w:r w:rsidRPr="00F5790F">
              <w:rPr>
                <w:rFonts w:hint="eastAsia"/>
                <w:sz w:val="23"/>
                <w:szCs w:val="23"/>
              </w:rPr>
              <w:t>千元，但外銷原料藥卻為</w:t>
            </w:r>
            <w:r w:rsidRPr="00F5790F">
              <w:rPr>
                <w:rFonts w:hint="eastAsia"/>
                <w:sz w:val="23"/>
                <w:szCs w:val="23"/>
              </w:rPr>
              <w:t>6</w:t>
            </w:r>
            <w:r w:rsidRPr="00F5790F">
              <w:rPr>
                <w:rFonts w:hint="eastAsia"/>
                <w:sz w:val="23"/>
                <w:szCs w:val="23"/>
              </w:rPr>
              <w:t>萬元，宜公平對待。</w:t>
            </w:r>
          </w:p>
        </w:tc>
        <w:tc>
          <w:tcPr>
            <w:tcW w:w="5103" w:type="dxa"/>
          </w:tcPr>
          <w:p w:rsidR="007C0D98" w:rsidRPr="00614324" w:rsidRDefault="007C0D98" w:rsidP="0083158A">
            <w:pPr>
              <w:pStyle w:val="a4"/>
              <w:numPr>
                <w:ilvl w:val="0"/>
                <w:numId w:val="23"/>
              </w:numPr>
              <w:ind w:leftChars="15" w:left="319" w:hanging="283"/>
            </w:pPr>
            <w:r w:rsidRPr="00614324">
              <w:t>(1)</w:t>
            </w:r>
            <w:r w:rsidRPr="00614324">
              <w:rPr>
                <w:rFonts w:hint="eastAsia"/>
              </w:rPr>
              <w:t>部分國家對於原料藥查驗登記之管理，主要係以透過</w:t>
            </w:r>
            <w:r w:rsidRPr="00614324">
              <w:t>DMF</w:t>
            </w:r>
            <w:r w:rsidRPr="00614324">
              <w:rPr>
                <w:rFonts w:hint="eastAsia"/>
              </w:rPr>
              <w:t>管理制度，於製劑查驗登記時在進行原料藥品質技術文件資料之審查，與我國管理制度不盡相同。故其對於原料藥之審查成本，併於製劑審查費中反應。</w:t>
            </w:r>
          </w:p>
          <w:p w:rsidR="007C0D98" w:rsidRPr="00614324" w:rsidRDefault="007C0D98" w:rsidP="0083158A">
            <w:pPr>
              <w:pStyle w:val="a4"/>
              <w:ind w:leftChars="0" w:left="319"/>
            </w:pPr>
            <w:r w:rsidRPr="00614324">
              <w:t>(2)</w:t>
            </w:r>
            <w:r w:rsidRPr="00614324">
              <w:rPr>
                <w:rFonts w:hint="eastAsia"/>
              </w:rPr>
              <w:t>原料藥查驗登記之審查，係依據</w:t>
            </w:r>
            <w:r w:rsidRPr="00614324">
              <w:t xml:space="preserve"> ICH</w:t>
            </w:r>
            <w:r w:rsidRPr="00614324">
              <w:rPr>
                <w:rFonts w:hint="eastAsia"/>
              </w:rPr>
              <w:t>規範審查，本署係依審查成本制訂收費標準。</w:t>
            </w:r>
          </w:p>
          <w:p w:rsidR="007C0D98" w:rsidRPr="00614324" w:rsidRDefault="007C0D98" w:rsidP="00614324">
            <w:pPr>
              <w:ind w:leftChars="14" w:left="315" w:hangingChars="117" w:hanging="281"/>
            </w:pPr>
            <w:r w:rsidRPr="00614324">
              <w:rPr>
                <w:rFonts w:hint="eastAsia"/>
                <w:kern w:val="0"/>
              </w:rPr>
              <w:t>2.</w:t>
            </w:r>
            <w:r w:rsidRPr="007C0D98">
              <w:rPr>
                <w:rFonts w:hint="eastAsia"/>
                <w:kern w:val="0"/>
              </w:rPr>
              <w:t>可考慮外銷專用原料藥查驗登記比照製劑，調降規費為</w:t>
            </w:r>
            <w:r w:rsidRPr="007C0D98">
              <w:rPr>
                <w:rFonts w:hint="eastAsia"/>
                <w:kern w:val="0"/>
              </w:rPr>
              <w:t>2</w:t>
            </w:r>
            <w:r w:rsidRPr="007C0D98">
              <w:rPr>
                <w:rFonts w:hint="eastAsia"/>
                <w:kern w:val="0"/>
              </w:rPr>
              <w:t>萬</w:t>
            </w:r>
            <w:r w:rsidRPr="007C0D98">
              <w:rPr>
                <w:kern w:val="0"/>
              </w:rPr>
              <w:t>5</w:t>
            </w:r>
            <w:r w:rsidRPr="007C0D98">
              <w:rPr>
                <w:rFonts w:hint="eastAsia"/>
                <w:kern w:val="0"/>
              </w:rPr>
              <w:t>千元，以鼓勵外銷。</w:t>
            </w:r>
          </w:p>
        </w:tc>
      </w:tr>
      <w:tr w:rsidR="00D302CF" w:rsidRPr="00614324" w:rsidTr="00247E36">
        <w:trPr>
          <w:trHeight w:val="476"/>
        </w:trPr>
        <w:tc>
          <w:tcPr>
            <w:tcW w:w="404" w:type="dxa"/>
          </w:tcPr>
          <w:p w:rsidR="00D302CF" w:rsidRPr="00D34C4E" w:rsidRDefault="005448E0" w:rsidP="00E3049A">
            <w:pPr>
              <w:rPr>
                <w:sz w:val="20"/>
                <w:szCs w:val="20"/>
              </w:rPr>
            </w:pPr>
            <w:r>
              <w:rPr>
                <w:rFonts w:hint="eastAsia"/>
                <w:sz w:val="20"/>
                <w:szCs w:val="20"/>
              </w:rPr>
              <w:t>8</w:t>
            </w:r>
          </w:p>
        </w:tc>
        <w:tc>
          <w:tcPr>
            <w:tcW w:w="1206" w:type="dxa"/>
          </w:tcPr>
          <w:p w:rsidR="00D302CF" w:rsidRPr="00614324" w:rsidRDefault="00D302CF" w:rsidP="00E3049A">
            <w:r w:rsidRPr="00614324">
              <w:rPr>
                <w:rFonts w:hint="eastAsia"/>
              </w:rPr>
              <w:t>台灣神隆</w:t>
            </w:r>
          </w:p>
        </w:tc>
        <w:tc>
          <w:tcPr>
            <w:tcW w:w="8563" w:type="dxa"/>
          </w:tcPr>
          <w:p w:rsidR="00D302CF" w:rsidRPr="00614324" w:rsidRDefault="00D302CF" w:rsidP="00E3049A">
            <w:pPr>
              <w:spacing w:line="350" w:lineRule="exact"/>
              <w:jc w:val="both"/>
              <w:rPr>
                <w:rFonts w:ascii="新細明體" w:eastAsia="新細明體" w:hAnsi="新細明體" w:cs="新細明體"/>
                <w:b/>
                <w:kern w:val="0"/>
                <w:sz w:val="23"/>
                <w:szCs w:val="23"/>
              </w:rPr>
            </w:pPr>
            <w:r w:rsidRPr="00614324">
              <w:rPr>
                <w:rFonts w:ascii="新細明體" w:eastAsia="新細明體" w:hAnsi="新細明體" w:cs="新細明體" w:hint="eastAsia"/>
                <w:b/>
                <w:kern w:val="0"/>
                <w:sz w:val="23"/>
                <w:szCs w:val="23"/>
              </w:rPr>
              <w:t>七、西藥製造品質檢查</w:t>
            </w:r>
          </w:p>
          <w:p w:rsidR="00D302CF" w:rsidRPr="00614324" w:rsidRDefault="00D302CF" w:rsidP="00E3049A">
            <w:pPr>
              <w:spacing w:line="350" w:lineRule="exact"/>
              <w:jc w:val="both"/>
              <w:rPr>
                <w:rFonts w:ascii="新細明體" w:eastAsia="新細明體" w:hAnsi="新細明體" w:cs="新細明體"/>
                <w:b/>
                <w:kern w:val="0"/>
                <w:sz w:val="23"/>
                <w:szCs w:val="23"/>
              </w:rPr>
            </w:pPr>
            <w:r w:rsidRPr="00614324">
              <w:rPr>
                <w:rFonts w:ascii="新細明體" w:eastAsia="新細明體" w:hAnsi="新細明體" w:cs="新細明體" w:hint="eastAsia"/>
                <w:b/>
                <w:kern w:val="0"/>
                <w:sz w:val="23"/>
                <w:szCs w:val="23"/>
              </w:rPr>
              <w:t>(一)國內西藥製藥工廠檢查</w:t>
            </w:r>
          </w:p>
          <w:p w:rsidR="00D302CF" w:rsidRPr="00614324" w:rsidRDefault="00D302CF" w:rsidP="00E3049A">
            <w:pPr>
              <w:spacing w:line="350" w:lineRule="exact"/>
              <w:jc w:val="both"/>
              <w:rPr>
                <w:rFonts w:ascii="新細明體" w:eastAsia="新細明體" w:hAnsi="新細明體" w:cs="新細明體"/>
                <w:b/>
                <w:kern w:val="0"/>
                <w:sz w:val="23"/>
                <w:szCs w:val="23"/>
              </w:rPr>
            </w:pPr>
            <w:r w:rsidRPr="00614324">
              <w:rPr>
                <w:rFonts w:ascii="新細明體" w:eastAsia="新細明體" w:hAnsi="新細明體" w:cs="新細明體" w:hint="eastAsia"/>
                <w:b/>
                <w:kern w:val="0"/>
                <w:sz w:val="23"/>
                <w:szCs w:val="23"/>
              </w:rPr>
              <w:t>1、新設、遷移、擴建、復業或增加原料藥、劑型、加工項目、品項之檢查，新臺幣十二萬元，每增加一個劑型、生物藥品(含其原料藥)品項或作業內容者、原料藥品項，加工項目，增加收費新台幣二</w:t>
            </w:r>
            <w:r>
              <w:rPr>
                <w:rFonts w:ascii="新細明體" w:eastAsia="新細明體" w:hAnsi="新細明體" w:cs="新細明體" w:hint="eastAsia"/>
                <w:b/>
                <w:kern w:val="0"/>
                <w:sz w:val="23"/>
                <w:szCs w:val="23"/>
              </w:rPr>
              <w:t>萬</w:t>
            </w:r>
            <w:r w:rsidRPr="00614324">
              <w:rPr>
                <w:rFonts w:ascii="新細明體" w:eastAsia="新細明體" w:hAnsi="新細明體" w:cs="新細明體" w:hint="eastAsia"/>
                <w:b/>
                <w:kern w:val="0"/>
                <w:sz w:val="23"/>
                <w:szCs w:val="23"/>
              </w:rPr>
              <w:t>元</w:t>
            </w:r>
          </w:p>
          <w:p w:rsidR="00D302CF" w:rsidRPr="00614324" w:rsidRDefault="00D302CF" w:rsidP="00E3049A">
            <w:pPr>
              <w:spacing w:line="350" w:lineRule="exact"/>
              <w:jc w:val="both"/>
              <w:rPr>
                <w:rFonts w:ascii="新細明體" w:eastAsia="新細明體" w:hAnsi="新細明體" w:cs="新細明體"/>
                <w:kern w:val="0"/>
                <w:sz w:val="23"/>
                <w:szCs w:val="23"/>
              </w:rPr>
            </w:pPr>
            <w:r w:rsidRPr="00614324">
              <w:rPr>
                <w:rFonts w:ascii="新細明體" w:eastAsia="新細明體" w:hAnsi="新細明體" w:cs="新細明體" w:hint="eastAsia"/>
                <w:kern w:val="0"/>
                <w:sz w:val="23"/>
                <w:szCs w:val="23"/>
              </w:rPr>
              <w:t>1.US FDA並不是每個新產品都會進行查廠，利用風險評估的方式來決定是否進行。PMDA第一個的產品會到廠稽核，之後對於新增的產品會進行paper audit。澳洲官方能依據其他官方稽核報告如US FDA就可以renew GMP certificate。建議參考上述國家作法以節省審查人力，另，宜建立績效目標以提升效率。</w:t>
            </w:r>
          </w:p>
          <w:p w:rsidR="00D302CF" w:rsidRPr="00614324" w:rsidRDefault="00D302CF" w:rsidP="00E3049A">
            <w:pPr>
              <w:spacing w:line="350" w:lineRule="exact"/>
              <w:jc w:val="both"/>
              <w:rPr>
                <w:rFonts w:ascii="新細明體" w:eastAsia="新細明體" w:hAnsi="新細明體" w:cs="新細明體"/>
                <w:sz w:val="23"/>
                <w:szCs w:val="23"/>
              </w:rPr>
            </w:pPr>
            <w:r w:rsidRPr="00614324">
              <w:rPr>
                <w:rFonts w:ascii="新細明體" w:eastAsia="新細明體" w:hAnsi="新細明體" w:cs="新細明體" w:hint="eastAsia"/>
                <w:kern w:val="0"/>
                <w:sz w:val="23"/>
                <w:szCs w:val="23"/>
              </w:rPr>
              <w:t>2.製劑廠以劑型區分，然劑型種類有限，申請新增品項查核機率較少，但原料藥廠新增品項的機會高，依此規定規範原料藥廠，不僅造成原料藥廠的負擔，也會增加風管組的工作量。</w:t>
            </w:r>
          </w:p>
        </w:tc>
        <w:tc>
          <w:tcPr>
            <w:tcW w:w="5103" w:type="dxa"/>
          </w:tcPr>
          <w:p w:rsidR="00D302CF" w:rsidRPr="00614324" w:rsidRDefault="00D302CF" w:rsidP="00E3049A">
            <w:pPr>
              <w:autoSpaceDE w:val="0"/>
              <w:autoSpaceDN w:val="0"/>
              <w:adjustRightInd w:val="0"/>
              <w:spacing w:line="360" w:lineRule="exact"/>
              <w:rPr>
                <w:rFonts w:ascii="新細明體" w:eastAsia="新細明體" w:hAnsi="新細明體"/>
              </w:rPr>
            </w:pPr>
            <w:r w:rsidRPr="00614324">
              <w:rPr>
                <w:rFonts w:ascii="新細明體" w:eastAsia="新細明體" w:hAnsi="新細明體" w:hint="eastAsia"/>
              </w:rPr>
              <w:t>依據「藥物製造業者檢查辦法」第三條，藥物製造業者增加原料藥及後續追蹤管理之檢查，其軟體設備及衛生條件，應符合藥物製造工廠設廠標準第三編或第四編之規定，並由中央衛生主管機關依第四條規定檢查之；第四條，增加原料藥之國產藥品製造業者，應繳納費用，並填具藥品優良製造評鑑申請表及檢附相關資料，向中央衛生主管機關申請檢查。有關貴公司建議參考他國有關新增原料藥品項之相關規定，如以風險評估或是書面審查之方式替代實地查核進行審查，未來於修訂「藥物製造業者檢查辦法」時將納入參考。</w:t>
            </w:r>
          </w:p>
          <w:p w:rsidR="00D302CF" w:rsidRPr="00614324" w:rsidRDefault="00D302CF" w:rsidP="00E3049A">
            <w:pPr>
              <w:autoSpaceDE w:val="0"/>
              <w:autoSpaceDN w:val="0"/>
              <w:adjustRightInd w:val="0"/>
              <w:spacing w:line="360" w:lineRule="exact"/>
              <w:rPr>
                <w:rFonts w:ascii="新細明體" w:eastAsia="新細明體" w:hAnsi="新細明體"/>
              </w:rPr>
            </w:pPr>
            <w:r w:rsidRPr="00614324">
              <w:rPr>
                <w:rFonts w:ascii="新細明體" w:eastAsia="新細明體" w:hAnsi="新細明體" w:hint="eastAsia"/>
              </w:rPr>
              <w:t>另，貴公司所列舉之案例，係指他國針對輸入原料藥品之管理規定，並不全面適用於該國國產原料藥品製造業者之管理。</w:t>
            </w:r>
          </w:p>
        </w:tc>
      </w:tr>
      <w:tr w:rsidR="00D302CF" w:rsidRPr="00614324" w:rsidTr="00F5790F">
        <w:trPr>
          <w:trHeight w:val="980"/>
        </w:trPr>
        <w:tc>
          <w:tcPr>
            <w:tcW w:w="404" w:type="dxa"/>
          </w:tcPr>
          <w:p w:rsidR="00D302CF" w:rsidRPr="00D34C4E" w:rsidRDefault="005448E0" w:rsidP="00E3049A">
            <w:pPr>
              <w:rPr>
                <w:sz w:val="20"/>
                <w:szCs w:val="20"/>
              </w:rPr>
            </w:pPr>
            <w:r>
              <w:rPr>
                <w:rFonts w:hint="eastAsia"/>
                <w:sz w:val="20"/>
                <w:szCs w:val="20"/>
              </w:rPr>
              <w:t>9</w:t>
            </w:r>
          </w:p>
        </w:tc>
        <w:tc>
          <w:tcPr>
            <w:tcW w:w="1206" w:type="dxa"/>
          </w:tcPr>
          <w:p w:rsidR="00D302CF" w:rsidRPr="00614324" w:rsidRDefault="00D302CF" w:rsidP="00E3049A">
            <w:r w:rsidRPr="00614324">
              <w:rPr>
                <w:rFonts w:hint="eastAsia"/>
              </w:rPr>
              <w:t>台灣神隆</w:t>
            </w:r>
          </w:p>
        </w:tc>
        <w:tc>
          <w:tcPr>
            <w:tcW w:w="8563" w:type="dxa"/>
          </w:tcPr>
          <w:p w:rsidR="00D302CF" w:rsidRPr="00614324" w:rsidRDefault="00D302CF" w:rsidP="00E3049A">
            <w:pPr>
              <w:spacing w:line="350" w:lineRule="exact"/>
              <w:jc w:val="both"/>
              <w:rPr>
                <w:rFonts w:ascii="新細明體" w:eastAsia="新細明體" w:hAnsi="新細明體" w:cs="新細明體"/>
                <w:b/>
                <w:kern w:val="0"/>
                <w:sz w:val="23"/>
                <w:szCs w:val="23"/>
              </w:rPr>
            </w:pPr>
            <w:r w:rsidRPr="00614324">
              <w:rPr>
                <w:rFonts w:ascii="新細明體" w:eastAsia="新細明體" w:hAnsi="新細明體" w:cs="新細明體" w:hint="eastAsia"/>
                <w:b/>
                <w:kern w:val="0"/>
                <w:sz w:val="23"/>
                <w:szCs w:val="23"/>
              </w:rPr>
              <w:t>七、西藥製造品質檢查</w:t>
            </w:r>
          </w:p>
          <w:p w:rsidR="00D302CF" w:rsidRPr="00614324" w:rsidRDefault="00D302CF" w:rsidP="00E3049A">
            <w:pPr>
              <w:spacing w:line="350" w:lineRule="exact"/>
              <w:jc w:val="both"/>
              <w:rPr>
                <w:rFonts w:ascii="新細明體" w:eastAsia="新細明體" w:hAnsi="新細明體" w:cs="新細明體"/>
                <w:b/>
                <w:kern w:val="0"/>
                <w:sz w:val="23"/>
                <w:szCs w:val="23"/>
              </w:rPr>
            </w:pPr>
            <w:r w:rsidRPr="00614324">
              <w:rPr>
                <w:rFonts w:ascii="新細明體" w:eastAsia="新細明體" w:hAnsi="新細明體" w:cs="新細明體" w:hint="eastAsia"/>
                <w:b/>
                <w:kern w:val="0"/>
                <w:sz w:val="23"/>
                <w:szCs w:val="23"/>
              </w:rPr>
              <w:t>(一)國內西藥製藥工廠檢查:2、後續管理檢查，新臺幣十二萬元。</w:t>
            </w:r>
          </w:p>
          <w:p w:rsidR="00D302CF" w:rsidRPr="00614324" w:rsidRDefault="00D302CF" w:rsidP="00E3049A">
            <w:pPr>
              <w:spacing w:line="350" w:lineRule="exact"/>
              <w:jc w:val="both"/>
              <w:rPr>
                <w:rFonts w:ascii="新細明體" w:eastAsia="新細明體" w:hAnsi="新細明體" w:cs="新細明體"/>
                <w:kern w:val="0"/>
                <w:sz w:val="23"/>
                <w:szCs w:val="23"/>
              </w:rPr>
            </w:pPr>
            <w:r w:rsidRPr="00614324">
              <w:rPr>
                <w:rFonts w:ascii="新細明體" w:eastAsia="新細明體" w:hAnsi="新細明體" w:cs="新細明體" w:hint="eastAsia"/>
                <w:kern w:val="0"/>
                <w:sz w:val="23"/>
                <w:szCs w:val="23"/>
              </w:rPr>
              <w:t>意見同(一)國內西藥製藥工廠檢查。</w:t>
            </w:r>
          </w:p>
        </w:tc>
        <w:tc>
          <w:tcPr>
            <w:tcW w:w="5103" w:type="dxa"/>
          </w:tcPr>
          <w:p w:rsidR="00D302CF" w:rsidRPr="00614324" w:rsidRDefault="00D302CF" w:rsidP="00E3049A">
            <w:pPr>
              <w:rPr>
                <w:rFonts w:ascii="新細明體" w:eastAsia="新細明體" w:hAnsi="新細明體"/>
              </w:rPr>
            </w:pPr>
            <w:r w:rsidRPr="00614324">
              <w:rPr>
                <w:rFonts w:ascii="新細明體" w:eastAsia="新細明體" w:hAnsi="新細明體" w:hint="eastAsia"/>
              </w:rPr>
              <w:t>回復同(一)。</w:t>
            </w:r>
          </w:p>
        </w:tc>
      </w:tr>
      <w:tr w:rsidR="005448E0" w:rsidRPr="00614324" w:rsidTr="00F5790F">
        <w:trPr>
          <w:trHeight w:val="6146"/>
        </w:trPr>
        <w:tc>
          <w:tcPr>
            <w:tcW w:w="404" w:type="dxa"/>
          </w:tcPr>
          <w:p w:rsidR="005448E0" w:rsidRPr="005448E0" w:rsidRDefault="005448E0" w:rsidP="00E3049A">
            <w:pPr>
              <w:rPr>
                <w:sz w:val="18"/>
                <w:szCs w:val="18"/>
              </w:rPr>
            </w:pPr>
            <w:r w:rsidRPr="005448E0">
              <w:rPr>
                <w:rFonts w:hint="eastAsia"/>
                <w:sz w:val="18"/>
                <w:szCs w:val="18"/>
              </w:rPr>
              <w:t>10</w:t>
            </w:r>
          </w:p>
        </w:tc>
        <w:tc>
          <w:tcPr>
            <w:tcW w:w="1206" w:type="dxa"/>
          </w:tcPr>
          <w:p w:rsidR="005448E0" w:rsidRPr="00614324" w:rsidRDefault="005448E0" w:rsidP="00E3049A">
            <w:r>
              <w:rPr>
                <w:rFonts w:hint="eastAsia"/>
              </w:rPr>
              <w:t>IRPMA</w:t>
            </w:r>
          </w:p>
        </w:tc>
        <w:tc>
          <w:tcPr>
            <w:tcW w:w="8563" w:type="dxa"/>
          </w:tcPr>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46"/>
              <w:gridCol w:w="2552"/>
              <w:gridCol w:w="2268"/>
            </w:tblGrid>
            <w:tr w:rsidR="005448E0" w:rsidRPr="00614324" w:rsidTr="00D5506D">
              <w:trPr>
                <w:trHeight w:val="119"/>
              </w:trPr>
              <w:tc>
                <w:tcPr>
                  <w:tcW w:w="1242" w:type="dxa"/>
                </w:tcPr>
                <w:p w:rsidR="005448E0" w:rsidRPr="00F5790F" w:rsidRDefault="005448E0" w:rsidP="00E3049A">
                  <w:pPr>
                    <w:pStyle w:val="Default"/>
                    <w:rPr>
                      <w:color w:val="auto"/>
                      <w:sz w:val="22"/>
                      <w:szCs w:val="22"/>
                    </w:rPr>
                  </w:pPr>
                  <w:r w:rsidRPr="00F5790F">
                    <w:rPr>
                      <w:rFonts w:hint="eastAsia"/>
                      <w:color w:val="auto"/>
                      <w:sz w:val="22"/>
                      <w:szCs w:val="22"/>
                    </w:rPr>
                    <w:t>第二條</w:t>
                  </w:r>
                  <w:r w:rsidRPr="00F5790F">
                    <w:rPr>
                      <w:color w:val="auto"/>
                      <w:sz w:val="22"/>
                      <w:szCs w:val="22"/>
                    </w:rPr>
                    <w:t xml:space="preserve"> </w:t>
                  </w:r>
                </w:p>
              </w:tc>
              <w:tc>
                <w:tcPr>
                  <w:tcW w:w="2246" w:type="dxa"/>
                </w:tcPr>
                <w:p w:rsidR="005448E0" w:rsidRPr="00F5790F" w:rsidRDefault="005448E0" w:rsidP="00E3049A">
                  <w:pPr>
                    <w:pStyle w:val="Default"/>
                    <w:rPr>
                      <w:color w:val="auto"/>
                      <w:sz w:val="22"/>
                      <w:szCs w:val="22"/>
                    </w:rPr>
                  </w:pPr>
                  <w:r w:rsidRPr="00F5790F">
                    <w:rPr>
                      <w:rFonts w:hint="eastAsia"/>
                      <w:color w:val="auto"/>
                      <w:sz w:val="22"/>
                      <w:szCs w:val="22"/>
                    </w:rPr>
                    <w:t>草案原文</w:t>
                  </w:r>
                  <w:r w:rsidRPr="00F5790F">
                    <w:rPr>
                      <w:color w:val="auto"/>
                      <w:sz w:val="22"/>
                      <w:szCs w:val="22"/>
                    </w:rPr>
                    <w:t xml:space="preserve"> </w:t>
                  </w:r>
                </w:p>
              </w:tc>
              <w:tc>
                <w:tcPr>
                  <w:tcW w:w="2552" w:type="dxa"/>
                </w:tcPr>
                <w:p w:rsidR="005448E0" w:rsidRPr="00F5790F" w:rsidRDefault="005448E0" w:rsidP="00E3049A">
                  <w:pPr>
                    <w:pStyle w:val="Default"/>
                    <w:rPr>
                      <w:color w:val="auto"/>
                      <w:sz w:val="22"/>
                      <w:szCs w:val="22"/>
                    </w:rPr>
                  </w:pPr>
                  <w:r w:rsidRPr="00F5790F">
                    <w:rPr>
                      <w:rFonts w:hint="eastAsia"/>
                      <w:color w:val="auto"/>
                      <w:sz w:val="22"/>
                      <w:szCs w:val="22"/>
                    </w:rPr>
                    <w:t>建議</w:t>
                  </w:r>
                  <w:r w:rsidRPr="00F5790F">
                    <w:rPr>
                      <w:color w:val="auto"/>
                      <w:sz w:val="22"/>
                      <w:szCs w:val="22"/>
                    </w:rPr>
                    <w:t xml:space="preserve"> </w:t>
                  </w:r>
                </w:p>
              </w:tc>
              <w:tc>
                <w:tcPr>
                  <w:tcW w:w="2268" w:type="dxa"/>
                </w:tcPr>
                <w:p w:rsidR="005448E0" w:rsidRPr="00F5790F" w:rsidRDefault="005448E0" w:rsidP="00E3049A">
                  <w:pPr>
                    <w:pStyle w:val="Default"/>
                    <w:rPr>
                      <w:color w:val="auto"/>
                      <w:sz w:val="22"/>
                      <w:szCs w:val="22"/>
                    </w:rPr>
                  </w:pPr>
                  <w:r w:rsidRPr="00F5790F">
                    <w:rPr>
                      <w:rFonts w:hint="eastAsia"/>
                      <w:color w:val="auto"/>
                      <w:sz w:val="22"/>
                      <w:szCs w:val="22"/>
                    </w:rPr>
                    <w:t>理由</w:t>
                  </w:r>
                  <w:r w:rsidRPr="00F5790F">
                    <w:rPr>
                      <w:color w:val="auto"/>
                      <w:sz w:val="22"/>
                      <w:szCs w:val="22"/>
                    </w:rPr>
                    <w:t xml:space="preserve"> </w:t>
                  </w:r>
                </w:p>
              </w:tc>
            </w:tr>
            <w:tr w:rsidR="005448E0" w:rsidRPr="00614324" w:rsidTr="00D5506D">
              <w:trPr>
                <w:trHeight w:val="1224"/>
              </w:trPr>
              <w:tc>
                <w:tcPr>
                  <w:tcW w:w="1242" w:type="dxa"/>
                  <w:tcBorders>
                    <w:top w:val="single" w:sz="4" w:space="0" w:color="auto"/>
                    <w:left w:val="single" w:sz="4" w:space="0" w:color="auto"/>
                    <w:bottom w:val="single" w:sz="4" w:space="0" w:color="auto"/>
                    <w:right w:val="single" w:sz="4" w:space="0" w:color="auto"/>
                  </w:tcBorders>
                </w:tcPr>
                <w:p w:rsidR="005448E0" w:rsidRPr="00F5790F" w:rsidRDefault="005448E0" w:rsidP="00E3049A">
                  <w:pPr>
                    <w:pStyle w:val="Default"/>
                    <w:rPr>
                      <w:color w:val="auto"/>
                      <w:sz w:val="22"/>
                      <w:szCs w:val="22"/>
                    </w:rPr>
                  </w:pPr>
                  <w:r w:rsidRPr="00F5790F">
                    <w:rPr>
                      <w:rFonts w:hint="eastAsia"/>
                      <w:color w:val="auto"/>
                      <w:sz w:val="22"/>
                      <w:szCs w:val="22"/>
                    </w:rPr>
                    <w:t>七</w:t>
                  </w:r>
                  <w:r w:rsidRPr="00F5790F">
                    <w:rPr>
                      <w:rFonts w:ascii="Times New Roman" w:hAnsi="Times New Roman" w:cs="Times New Roman"/>
                      <w:color w:val="auto"/>
                      <w:sz w:val="22"/>
                      <w:szCs w:val="22"/>
                    </w:rPr>
                    <w:t xml:space="preserve">. </w:t>
                  </w:r>
                  <w:r w:rsidRPr="00F5790F">
                    <w:rPr>
                      <w:rFonts w:hAnsi="Times New Roman" w:hint="eastAsia"/>
                      <w:color w:val="auto"/>
                      <w:sz w:val="22"/>
                      <w:szCs w:val="22"/>
                    </w:rPr>
                    <w:t>西藥製造品質檢查</w:t>
                  </w:r>
                </w:p>
              </w:tc>
              <w:tc>
                <w:tcPr>
                  <w:tcW w:w="2246" w:type="dxa"/>
                  <w:tcBorders>
                    <w:top w:val="single" w:sz="4" w:space="0" w:color="auto"/>
                    <w:left w:val="single" w:sz="4" w:space="0" w:color="auto"/>
                    <w:bottom w:val="single" w:sz="4" w:space="0" w:color="auto"/>
                    <w:right w:val="single" w:sz="4" w:space="0" w:color="auto"/>
                  </w:tcBorders>
                </w:tcPr>
                <w:p w:rsidR="005448E0" w:rsidRPr="00F5790F" w:rsidRDefault="005448E0" w:rsidP="00E3049A">
                  <w:pPr>
                    <w:pStyle w:val="Default"/>
                    <w:rPr>
                      <w:rFonts w:ascii="新細明體o浡渀." w:eastAsia="新細明體o浡渀." w:cs="新細明體o浡渀."/>
                      <w:color w:val="auto"/>
                      <w:sz w:val="22"/>
                      <w:szCs w:val="22"/>
                    </w:rPr>
                  </w:pPr>
                  <w:r w:rsidRPr="00F5790F">
                    <w:rPr>
                      <w:rFonts w:ascii="新細明體o浡渀." w:eastAsia="新細明體o浡渀." w:cs="新細明體o浡渀."/>
                      <w:color w:val="auto"/>
                      <w:sz w:val="22"/>
                      <w:szCs w:val="22"/>
                    </w:rPr>
                    <w:t>(</w:t>
                  </w:r>
                  <w:r w:rsidRPr="00F5790F">
                    <w:rPr>
                      <w:rFonts w:hint="eastAsia"/>
                      <w:color w:val="auto"/>
                      <w:sz w:val="22"/>
                      <w:szCs w:val="22"/>
                    </w:rPr>
                    <w:t>二</w:t>
                  </w:r>
                  <w:r w:rsidRPr="00F5790F">
                    <w:rPr>
                      <w:rFonts w:ascii="新細明體o浡渀." w:eastAsia="新細明體o浡渀." w:cs="新細明體o浡渀."/>
                      <w:color w:val="auto"/>
                      <w:sz w:val="22"/>
                      <w:szCs w:val="22"/>
                    </w:rPr>
                    <w:t>)</w:t>
                  </w:r>
                  <w:r w:rsidRPr="00F5790F">
                    <w:rPr>
                      <w:rFonts w:hint="eastAsia"/>
                      <w:color w:val="auto"/>
                      <w:sz w:val="22"/>
                      <w:szCs w:val="22"/>
                    </w:rPr>
                    <w:t>國外西藥製造工廠檢查</w:t>
                  </w:r>
                  <w:r w:rsidRPr="00F5790F">
                    <w:rPr>
                      <w:rFonts w:ascii="新細明體o浡渀." w:eastAsia="新細明體o浡渀." w:cs="新細明體o浡渀."/>
                      <w:color w:val="auto"/>
                      <w:sz w:val="22"/>
                      <w:szCs w:val="22"/>
                    </w:rPr>
                    <w:t xml:space="preserve">: </w:t>
                  </w:r>
                </w:p>
                <w:p w:rsidR="005448E0" w:rsidRPr="00F5790F" w:rsidRDefault="005448E0" w:rsidP="00E3049A">
                  <w:pPr>
                    <w:pStyle w:val="Default"/>
                    <w:rPr>
                      <w:color w:val="auto"/>
                      <w:sz w:val="22"/>
                      <w:szCs w:val="22"/>
                    </w:rPr>
                  </w:pPr>
                  <w:r w:rsidRPr="00F5790F">
                    <w:rPr>
                      <w:rFonts w:ascii="新細明體o浡渀." w:eastAsia="新細明體o浡渀." w:cs="新細明體o浡渀."/>
                      <w:color w:val="auto"/>
                      <w:sz w:val="22"/>
                      <w:szCs w:val="22"/>
                    </w:rPr>
                    <w:t xml:space="preserve">1. </w:t>
                  </w:r>
                  <w:r w:rsidRPr="00F5790F">
                    <w:rPr>
                      <w:rFonts w:hint="eastAsia"/>
                      <w:color w:val="auto"/>
                      <w:sz w:val="22"/>
                      <w:szCs w:val="22"/>
                    </w:rPr>
                    <w:t>國外藥廠工廠資料審查，新臺幣十二萬元，每增加一個劑型、生物藥品品項、原料藥品項、加工項目，增加收費新臺幣二萬元</w:t>
                  </w:r>
                  <w:r w:rsidRPr="00F5790F">
                    <w:rPr>
                      <w:color w:val="auto"/>
                      <w:sz w:val="22"/>
                      <w:szCs w:val="22"/>
                    </w:rPr>
                    <w:t xml:space="preserve"> </w:t>
                  </w:r>
                </w:p>
                <w:p w:rsidR="005448E0" w:rsidRPr="00F5790F" w:rsidRDefault="005448E0" w:rsidP="00E3049A">
                  <w:pPr>
                    <w:pStyle w:val="Default"/>
                    <w:rPr>
                      <w:color w:val="auto"/>
                      <w:sz w:val="22"/>
                      <w:szCs w:val="22"/>
                    </w:rPr>
                  </w:pPr>
                  <w:r w:rsidRPr="00F5790F">
                    <w:rPr>
                      <w:rFonts w:ascii="新細明體o浡渀." w:eastAsia="新細明體o浡渀." w:cs="新細明體o浡渀."/>
                      <w:color w:val="auto"/>
                      <w:sz w:val="22"/>
                      <w:szCs w:val="22"/>
                    </w:rPr>
                    <w:t xml:space="preserve">2. </w:t>
                  </w:r>
                  <w:r w:rsidRPr="00F5790F">
                    <w:rPr>
                      <w:rFonts w:hint="eastAsia"/>
                      <w:color w:val="auto"/>
                      <w:sz w:val="22"/>
                      <w:szCs w:val="22"/>
                    </w:rPr>
                    <w:t>國外藥廠後續</w:t>
                  </w:r>
                </w:p>
                <w:p w:rsidR="005448E0" w:rsidRPr="00F5790F" w:rsidRDefault="005448E0" w:rsidP="00E3049A">
                  <w:pPr>
                    <w:pStyle w:val="Default"/>
                    <w:rPr>
                      <w:color w:val="auto"/>
                      <w:sz w:val="22"/>
                      <w:szCs w:val="22"/>
                    </w:rPr>
                  </w:pPr>
                  <w:r w:rsidRPr="00F5790F">
                    <w:rPr>
                      <w:rFonts w:hint="eastAsia"/>
                      <w:color w:val="auto"/>
                      <w:sz w:val="22"/>
                      <w:szCs w:val="22"/>
                    </w:rPr>
                    <w:t>管理審查，新臺幣十二萬元</w:t>
                  </w:r>
                </w:p>
                <w:p w:rsidR="005448E0" w:rsidRPr="00F5790F" w:rsidRDefault="005448E0" w:rsidP="00E3049A">
                  <w:pPr>
                    <w:pStyle w:val="Default"/>
                    <w:rPr>
                      <w:color w:val="auto"/>
                      <w:sz w:val="22"/>
                      <w:szCs w:val="22"/>
                    </w:rPr>
                  </w:pPr>
                  <w:r w:rsidRPr="00F5790F">
                    <w:rPr>
                      <w:rFonts w:ascii="Times New Roman" w:hAnsi="Times New Roman" w:cs="Times New Roman"/>
                      <w:color w:val="auto"/>
                      <w:sz w:val="22"/>
                      <w:szCs w:val="22"/>
                    </w:rPr>
                    <w:t xml:space="preserve">5. </w:t>
                  </w:r>
                  <w:r w:rsidRPr="00F5790F">
                    <w:rPr>
                      <w:rFonts w:hAnsi="Times New Roman" w:hint="eastAsia"/>
                      <w:color w:val="auto"/>
                      <w:sz w:val="22"/>
                      <w:szCs w:val="22"/>
                    </w:rPr>
                    <w:t>國外藥廠藥品優良製造準則</w:t>
                  </w:r>
                  <w:r w:rsidRPr="00F5790F">
                    <w:rPr>
                      <w:rFonts w:ascii="Times New Roman" w:hAnsi="Times New Roman" w:cs="Times New Roman"/>
                      <w:color w:val="auto"/>
                      <w:sz w:val="22"/>
                      <w:szCs w:val="22"/>
                    </w:rPr>
                    <w:t>(GMP)</w:t>
                  </w:r>
                  <w:r w:rsidRPr="00F5790F">
                    <w:rPr>
                      <w:rFonts w:hAnsi="Times New Roman" w:hint="eastAsia"/>
                      <w:color w:val="auto"/>
                      <w:sz w:val="22"/>
                      <w:szCs w:val="22"/>
                    </w:rPr>
                    <w:t>核備函代理權移轉</w:t>
                  </w:r>
                  <w:r w:rsidRPr="00F5790F">
                    <w:rPr>
                      <w:rFonts w:ascii="Times New Roman" w:hAnsi="Times New Roman" w:cs="Times New Roman"/>
                      <w:color w:val="auto"/>
                      <w:sz w:val="22"/>
                      <w:szCs w:val="22"/>
                    </w:rPr>
                    <w:t xml:space="preserve">, </w:t>
                  </w:r>
                  <w:r w:rsidRPr="00F5790F">
                    <w:rPr>
                      <w:rFonts w:hAnsi="Times New Roman" w:hint="eastAsia"/>
                      <w:color w:val="auto"/>
                      <w:sz w:val="22"/>
                      <w:szCs w:val="22"/>
                    </w:rPr>
                    <w:t>新台幣三萬元。</w:t>
                  </w:r>
                  <w:r w:rsidRPr="00F5790F">
                    <w:rPr>
                      <w:rFonts w:hAnsi="Times New Roman"/>
                      <w:color w:val="auto"/>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tcPr>
                <w:p w:rsidR="005448E0" w:rsidRPr="00F5790F" w:rsidRDefault="005448E0" w:rsidP="00E3049A">
                  <w:pPr>
                    <w:pStyle w:val="Default"/>
                    <w:rPr>
                      <w:color w:val="auto"/>
                      <w:sz w:val="22"/>
                      <w:szCs w:val="22"/>
                    </w:rPr>
                  </w:pPr>
                  <w:r w:rsidRPr="00F5790F">
                    <w:rPr>
                      <w:rFonts w:ascii="新細明體o浡渀." w:eastAsia="新細明體o浡渀." w:cs="新細明體o浡渀."/>
                      <w:color w:val="auto"/>
                      <w:sz w:val="22"/>
                      <w:szCs w:val="22"/>
                    </w:rPr>
                    <w:t xml:space="preserve">1. </w:t>
                  </w:r>
                  <w:r w:rsidRPr="00F5790F">
                    <w:rPr>
                      <w:rFonts w:hint="eastAsia"/>
                      <w:color w:val="auto"/>
                      <w:sz w:val="22"/>
                      <w:szCs w:val="22"/>
                    </w:rPr>
                    <w:t>原國外藥廠工廠資料審查十二萬，後續管理審查也十二萬顯不相當，建議降低為八萬</w:t>
                  </w:r>
                </w:p>
                <w:p w:rsidR="005448E0" w:rsidRPr="00F5790F" w:rsidRDefault="005448E0" w:rsidP="00E3049A">
                  <w:pPr>
                    <w:pStyle w:val="Default"/>
                    <w:rPr>
                      <w:color w:val="auto"/>
                      <w:sz w:val="22"/>
                      <w:szCs w:val="22"/>
                    </w:rPr>
                  </w:pPr>
                  <w:r w:rsidRPr="00F5790F">
                    <w:rPr>
                      <w:rFonts w:hint="eastAsia"/>
                      <w:color w:val="auto"/>
                      <w:sz w:val="22"/>
                      <w:szCs w:val="22"/>
                    </w:rPr>
                    <w:t>5. 國外藥廠藥品優良製造準則(GMP)核備函代理權移轉, 新台幣二萬元。</w:t>
                  </w:r>
                </w:p>
              </w:tc>
              <w:tc>
                <w:tcPr>
                  <w:tcW w:w="2268" w:type="dxa"/>
                  <w:tcBorders>
                    <w:top w:val="single" w:sz="4" w:space="0" w:color="auto"/>
                    <w:left w:val="single" w:sz="4" w:space="0" w:color="auto"/>
                    <w:bottom w:val="single" w:sz="4" w:space="0" w:color="auto"/>
                    <w:right w:val="single" w:sz="4" w:space="0" w:color="auto"/>
                  </w:tcBorders>
                </w:tcPr>
                <w:p w:rsidR="005448E0" w:rsidRPr="00F5790F" w:rsidRDefault="005448E0" w:rsidP="00E3049A">
                  <w:pPr>
                    <w:pStyle w:val="Default"/>
                    <w:rPr>
                      <w:rFonts w:hAnsi="Calibri"/>
                      <w:color w:val="auto"/>
                      <w:sz w:val="22"/>
                      <w:szCs w:val="22"/>
                    </w:rPr>
                  </w:pPr>
                  <w:r w:rsidRPr="00F5790F">
                    <w:rPr>
                      <w:rFonts w:ascii="Calibri" w:hAnsi="Calibri" w:cs="Calibri"/>
                      <w:color w:val="auto"/>
                      <w:sz w:val="22"/>
                      <w:szCs w:val="22"/>
                    </w:rPr>
                    <w:t xml:space="preserve">1. </w:t>
                  </w:r>
                  <w:r w:rsidRPr="00F5790F">
                    <w:rPr>
                      <w:rFonts w:hAnsi="Calibri" w:hint="eastAsia"/>
                      <w:color w:val="auto"/>
                      <w:sz w:val="22"/>
                      <w:szCs w:val="22"/>
                    </w:rPr>
                    <w:t>僅為後續管理審查</w:t>
                  </w:r>
                  <w:r w:rsidRPr="00F5790F">
                    <w:rPr>
                      <w:rFonts w:hAnsi="Calibri"/>
                      <w:color w:val="auto"/>
                      <w:sz w:val="22"/>
                      <w:szCs w:val="22"/>
                    </w:rPr>
                    <w:t xml:space="preserve"> </w:t>
                  </w:r>
                </w:p>
                <w:p w:rsidR="005448E0" w:rsidRPr="00F5790F" w:rsidRDefault="005448E0" w:rsidP="00E3049A">
                  <w:pPr>
                    <w:pStyle w:val="Default"/>
                    <w:rPr>
                      <w:rFonts w:hAnsi="Calibri"/>
                      <w:color w:val="auto"/>
                      <w:sz w:val="22"/>
                      <w:szCs w:val="22"/>
                    </w:rPr>
                  </w:pPr>
                  <w:r w:rsidRPr="00F5790F">
                    <w:rPr>
                      <w:rFonts w:ascii="Calibri" w:hAnsi="Calibri" w:cs="Calibri"/>
                      <w:color w:val="auto"/>
                      <w:sz w:val="22"/>
                      <w:szCs w:val="22"/>
                    </w:rPr>
                    <w:t xml:space="preserve">2. </w:t>
                  </w:r>
                  <w:r w:rsidRPr="00F5790F">
                    <w:rPr>
                      <w:rFonts w:hAnsi="Calibri" w:hint="eastAsia"/>
                      <w:color w:val="auto"/>
                      <w:sz w:val="22"/>
                      <w:szCs w:val="22"/>
                    </w:rPr>
                    <w:t>另請風管組考量是否能縮短一半時間</w:t>
                  </w:r>
                  <w:r w:rsidRPr="00F5790F">
                    <w:rPr>
                      <w:rFonts w:ascii="Calibri" w:hAnsi="Calibri" w:cs="Calibri"/>
                      <w:color w:val="auto"/>
                      <w:sz w:val="22"/>
                      <w:szCs w:val="22"/>
                    </w:rPr>
                    <w:t>(</w:t>
                  </w:r>
                  <w:r w:rsidRPr="00F5790F">
                    <w:rPr>
                      <w:rFonts w:hAnsi="Calibri" w:hint="eastAsia"/>
                      <w:color w:val="auto"/>
                      <w:sz w:val="22"/>
                      <w:szCs w:val="22"/>
                    </w:rPr>
                    <w:t>如</w:t>
                  </w:r>
                  <w:r w:rsidRPr="00F5790F">
                    <w:rPr>
                      <w:rFonts w:ascii="Calibri" w:hAnsi="Calibri" w:cs="Calibri"/>
                      <w:color w:val="auto"/>
                      <w:sz w:val="22"/>
                      <w:szCs w:val="22"/>
                    </w:rPr>
                    <w:t>102.8</w:t>
                  </w:r>
                  <w:r w:rsidRPr="00F5790F">
                    <w:rPr>
                      <w:rFonts w:hAnsi="Calibri" w:hint="eastAsia"/>
                      <w:color w:val="auto"/>
                      <w:sz w:val="22"/>
                      <w:szCs w:val="22"/>
                    </w:rPr>
                    <w:t>公告</w:t>
                  </w:r>
                  <w:r w:rsidRPr="00F5790F">
                    <w:rPr>
                      <w:rFonts w:ascii="Calibri" w:hAnsi="Calibri" w:cs="Calibri"/>
                      <w:color w:val="auto"/>
                      <w:sz w:val="22"/>
                      <w:szCs w:val="22"/>
                    </w:rPr>
                    <w:t xml:space="preserve">) </w:t>
                  </w:r>
                  <w:r w:rsidRPr="00F5790F">
                    <w:rPr>
                      <w:rFonts w:hAnsi="Calibri" w:hint="eastAsia"/>
                      <w:color w:val="auto"/>
                      <w:sz w:val="22"/>
                      <w:szCs w:val="22"/>
                    </w:rPr>
                    <w:t>否則</w:t>
                  </w:r>
                  <w:r w:rsidRPr="00F5790F">
                    <w:rPr>
                      <w:rFonts w:ascii="Calibri" w:hAnsi="Calibri" w:cs="Calibri"/>
                      <w:color w:val="auto"/>
                      <w:sz w:val="22"/>
                      <w:szCs w:val="22"/>
                    </w:rPr>
                    <w:t>101/102</w:t>
                  </w:r>
                  <w:r w:rsidRPr="00F5790F">
                    <w:rPr>
                      <w:rFonts w:hAnsi="Calibri" w:hint="eastAsia"/>
                      <w:color w:val="auto"/>
                      <w:sz w:val="22"/>
                      <w:szCs w:val="22"/>
                    </w:rPr>
                    <w:t>才修定的工廠管理相關費用</w:t>
                  </w:r>
                  <w:r w:rsidRPr="00F5790F">
                    <w:rPr>
                      <w:rFonts w:ascii="Calibri" w:hAnsi="Calibri" w:cs="Calibri"/>
                      <w:color w:val="auto"/>
                      <w:sz w:val="22"/>
                      <w:szCs w:val="22"/>
                    </w:rPr>
                    <w:t>,</w:t>
                  </w:r>
                  <w:r w:rsidRPr="00F5790F">
                    <w:rPr>
                      <w:rFonts w:hAnsi="Calibri" w:hint="eastAsia"/>
                      <w:color w:val="auto"/>
                      <w:sz w:val="22"/>
                      <w:szCs w:val="22"/>
                    </w:rPr>
                    <w:t>似乎太短時間內修改</w:t>
                  </w:r>
                  <w:r w:rsidRPr="00F5790F">
                    <w:rPr>
                      <w:rFonts w:ascii="Calibri" w:hAnsi="Calibri" w:cs="Calibri"/>
                      <w:color w:val="auto"/>
                      <w:sz w:val="22"/>
                      <w:szCs w:val="22"/>
                    </w:rPr>
                    <w:t>,</w:t>
                  </w:r>
                  <w:r w:rsidRPr="00F5790F">
                    <w:rPr>
                      <w:rFonts w:hAnsi="Calibri" w:hint="eastAsia"/>
                      <w:color w:val="auto"/>
                      <w:sz w:val="22"/>
                      <w:szCs w:val="22"/>
                    </w:rPr>
                    <w:t>並漲</w:t>
                  </w:r>
                  <w:r w:rsidRPr="00F5790F">
                    <w:rPr>
                      <w:rFonts w:ascii="Calibri" w:hAnsi="Calibri" w:cs="Calibri"/>
                      <w:color w:val="auto"/>
                      <w:sz w:val="22"/>
                      <w:szCs w:val="22"/>
                    </w:rPr>
                    <w:t>1</w:t>
                  </w:r>
                  <w:r w:rsidRPr="00F5790F">
                    <w:rPr>
                      <w:rFonts w:hAnsi="Calibri" w:hint="eastAsia"/>
                      <w:color w:val="auto"/>
                      <w:sz w:val="22"/>
                      <w:szCs w:val="22"/>
                    </w:rPr>
                    <w:t>倍</w:t>
                  </w:r>
                  <w:r w:rsidRPr="00F5790F">
                    <w:rPr>
                      <w:rFonts w:ascii="Calibri" w:hAnsi="Calibri" w:cs="Calibri"/>
                      <w:color w:val="auto"/>
                      <w:sz w:val="22"/>
                      <w:szCs w:val="22"/>
                    </w:rPr>
                    <w:t xml:space="preserve">, </w:t>
                  </w:r>
                  <w:r w:rsidRPr="00F5790F">
                    <w:rPr>
                      <w:rFonts w:hAnsi="Calibri" w:hint="eastAsia"/>
                      <w:color w:val="auto"/>
                      <w:sz w:val="22"/>
                      <w:szCs w:val="22"/>
                    </w:rPr>
                    <w:t>敬請採納</w:t>
                  </w:r>
                  <w:r w:rsidRPr="00F5790F">
                    <w:rPr>
                      <w:rFonts w:hAnsi="Calibri"/>
                      <w:color w:val="auto"/>
                      <w:sz w:val="22"/>
                      <w:szCs w:val="22"/>
                    </w:rPr>
                    <w:t xml:space="preserve"> </w:t>
                  </w:r>
                </w:p>
                <w:p w:rsidR="005448E0" w:rsidRPr="00F5790F" w:rsidRDefault="005448E0" w:rsidP="00E3049A">
                  <w:pPr>
                    <w:pStyle w:val="Default"/>
                    <w:rPr>
                      <w:sz w:val="22"/>
                      <w:szCs w:val="22"/>
                    </w:rPr>
                  </w:pPr>
                  <w:r w:rsidRPr="00F5790F">
                    <w:rPr>
                      <w:rFonts w:hAnsi="Calibri" w:hint="eastAsia"/>
                      <w:color w:val="auto"/>
                      <w:sz w:val="22"/>
                      <w:szCs w:val="22"/>
                    </w:rPr>
                    <w:t>5.應修改為二萬元，因該GMP核備函代理權轉移案，僅為行政文件變更審查，並不需要進行技術性文件審查，故其審查費應調降。</w:t>
                  </w:r>
                </w:p>
              </w:tc>
            </w:tr>
          </w:tbl>
          <w:p w:rsidR="005448E0" w:rsidRPr="00614324" w:rsidRDefault="005448E0" w:rsidP="00E3049A">
            <w:pPr>
              <w:rPr>
                <w:rFonts w:ascii="新細明體" w:eastAsia="新細明體" w:hAnsi="新細明體" w:cs="新細明體"/>
                <w:kern w:val="0"/>
                <w:sz w:val="23"/>
                <w:szCs w:val="23"/>
              </w:rPr>
            </w:pPr>
          </w:p>
        </w:tc>
        <w:tc>
          <w:tcPr>
            <w:tcW w:w="5103" w:type="dxa"/>
          </w:tcPr>
          <w:p w:rsidR="005448E0" w:rsidRPr="00614324" w:rsidRDefault="005448E0" w:rsidP="00E3049A">
            <w:r w:rsidRPr="00614324">
              <w:rPr>
                <w:rFonts w:hint="eastAsia"/>
              </w:rPr>
              <w:t>國外藥廠後續管理審查範疇即涵蓋所有經</w:t>
            </w:r>
            <w:r w:rsidRPr="00614324">
              <w:rPr>
                <w:rFonts w:hint="eastAsia"/>
              </w:rPr>
              <w:t>GMP</w:t>
            </w:r>
            <w:r w:rsidRPr="00614324">
              <w:rPr>
                <w:rFonts w:hint="eastAsia"/>
              </w:rPr>
              <w:t>核備之劑型與品項，不再因贈加劑型與品項再加增加收費；國外藥廠</w:t>
            </w:r>
            <w:r w:rsidRPr="00614324">
              <w:rPr>
                <w:rFonts w:hint="eastAsia"/>
              </w:rPr>
              <w:t>GMP</w:t>
            </w:r>
            <w:r w:rsidRPr="00614324">
              <w:rPr>
                <w:rFonts w:hint="eastAsia"/>
              </w:rPr>
              <w:t>核備函代理權移轉亦須進行實質審查；本次增加收費係考量並反映本署執行業務相關行政成本增加，為利能有足夠人力辦理審查案件，符合公平、使用者付費原則，調高規費，確有調整實需。</w:t>
            </w:r>
          </w:p>
        </w:tc>
      </w:tr>
      <w:tr w:rsidR="007C0D98" w:rsidRPr="00614324" w:rsidTr="00F5790F">
        <w:trPr>
          <w:trHeight w:val="324"/>
        </w:trPr>
        <w:tc>
          <w:tcPr>
            <w:tcW w:w="404" w:type="dxa"/>
          </w:tcPr>
          <w:p w:rsidR="007C0D98" w:rsidRPr="005448E0" w:rsidRDefault="005448E0" w:rsidP="008332EF">
            <w:pPr>
              <w:jc w:val="center"/>
              <w:rPr>
                <w:sz w:val="18"/>
                <w:szCs w:val="18"/>
              </w:rPr>
            </w:pPr>
            <w:r w:rsidRPr="005448E0">
              <w:rPr>
                <w:rFonts w:hint="eastAsia"/>
                <w:sz w:val="18"/>
                <w:szCs w:val="18"/>
              </w:rPr>
              <w:t>11</w:t>
            </w:r>
          </w:p>
        </w:tc>
        <w:tc>
          <w:tcPr>
            <w:tcW w:w="1206" w:type="dxa"/>
          </w:tcPr>
          <w:p w:rsidR="007C0D98" w:rsidRPr="00614324" w:rsidRDefault="007C0D98" w:rsidP="008332EF">
            <w:r w:rsidRPr="00614324">
              <w:rPr>
                <w:rFonts w:hint="eastAsia"/>
              </w:rPr>
              <w:t>台灣神隆</w:t>
            </w:r>
          </w:p>
        </w:tc>
        <w:tc>
          <w:tcPr>
            <w:tcW w:w="8563" w:type="dxa"/>
          </w:tcPr>
          <w:p w:rsidR="007C0D98" w:rsidRPr="00614324" w:rsidRDefault="007C0D98" w:rsidP="008332EF">
            <w:pPr>
              <w:spacing w:line="0" w:lineRule="atLeast"/>
              <w:ind w:left="100"/>
              <w:rPr>
                <w:b/>
              </w:rPr>
            </w:pPr>
            <w:r w:rsidRPr="00614324">
              <w:rPr>
                <w:rFonts w:hint="eastAsia"/>
                <w:b/>
              </w:rPr>
              <w:t>十、藥品登記事項變更及許可證展延、補發</w:t>
            </w:r>
          </w:p>
          <w:p w:rsidR="007C0D98" w:rsidRPr="00614324" w:rsidRDefault="007C0D98" w:rsidP="008332EF">
            <w:pPr>
              <w:spacing w:line="0" w:lineRule="atLeast"/>
              <w:ind w:left="100"/>
              <w:rPr>
                <w:b/>
              </w:rPr>
            </w:pPr>
            <w:r w:rsidRPr="00614324">
              <w:rPr>
                <w:rFonts w:hint="eastAsia"/>
                <w:b/>
              </w:rPr>
              <w:t>(</w:t>
            </w:r>
            <w:r w:rsidRPr="00614324">
              <w:rPr>
                <w:rFonts w:hint="eastAsia"/>
                <w:b/>
              </w:rPr>
              <w:t>三</w:t>
            </w:r>
            <w:r w:rsidRPr="00614324">
              <w:rPr>
                <w:rFonts w:hint="eastAsia"/>
                <w:b/>
              </w:rPr>
              <w:t>)</w:t>
            </w:r>
            <w:r w:rsidRPr="00614324">
              <w:rPr>
                <w:rFonts w:hint="eastAsia"/>
                <w:b/>
              </w:rPr>
              <w:t>委託製造、移轉、合併、產地或遷廠變更</w:t>
            </w:r>
            <w:r w:rsidRPr="00614324">
              <w:rPr>
                <w:rFonts w:hint="eastAsia"/>
                <w:b/>
              </w:rPr>
              <w:t>(</w:t>
            </w:r>
            <w:r w:rsidRPr="00614324">
              <w:rPr>
                <w:rFonts w:hint="eastAsia"/>
                <w:b/>
              </w:rPr>
              <w:t>原收費</w:t>
            </w:r>
            <w:r w:rsidRPr="00614324">
              <w:rPr>
                <w:rFonts w:hint="eastAsia"/>
                <w:b/>
              </w:rPr>
              <w:t>8,000</w:t>
            </w:r>
            <w:r w:rsidRPr="00614324">
              <w:rPr>
                <w:rFonts w:hint="eastAsia"/>
                <w:b/>
              </w:rPr>
              <w:t>元，新收費</w:t>
            </w:r>
            <w:r w:rsidRPr="00614324">
              <w:rPr>
                <w:rFonts w:hint="eastAsia"/>
                <w:b/>
              </w:rPr>
              <w:t>30,000</w:t>
            </w:r>
            <w:r w:rsidRPr="00614324">
              <w:rPr>
                <w:rFonts w:hint="eastAsia"/>
                <w:b/>
              </w:rPr>
              <w:t>元</w:t>
            </w:r>
            <w:r w:rsidRPr="00614324">
              <w:rPr>
                <w:rFonts w:hint="eastAsia"/>
                <w:b/>
              </w:rPr>
              <w:t>)</w:t>
            </w:r>
          </w:p>
          <w:p w:rsidR="007C0D98" w:rsidRPr="00614324" w:rsidRDefault="007C0D98" w:rsidP="008332EF">
            <w:pPr>
              <w:spacing w:line="0" w:lineRule="atLeast"/>
              <w:ind w:left="100"/>
            </w:pPr>
            <w:r w:rsidRPr="00614324">
              <w:rPr>
                <w:rFonts w:hint="eastAsia"/>
              </w:rPr>
              <w:t>一般歐美國家原料藥</w:t>
            </w:r>
            <w:r w:rsidRPr="00614324">
              <w:rPr>
                <w:rFonts w:hint="eastAsia"/>
              </w:rPr>
              <w:t>DMF</w:t>
            </w:r>
            <w:r w:rsidRPr="00614324">
              <w:rPr>
                <w:rFonts w:hint="eastAsia"/>
              </w:rPr>
              <w:t>中並不限制一個製造場所，尤其是中間產物</w:t>
            </w:r>
            <w:r w:rsidRPr="00614324">
              <w:rPr>
                <w:rFonts w:hint="eastAsia"/>
              </w:rPr>
              <w:t>(intermediates)</w:t>
            </w:r>
            <w:r w:rsidRPr="00614324">
              <w:rPr>
                <w:rFonts w:hint="eastAsia"/>
              </w:rPr>
              <w:t>常由數個生產場所同時生產，以符合商業量產所需。宜將原料藥中間體排除。</w:t>
            </w:r>
          </w:p>
          <w:p w:rsidR="007C0D98" w:rsidRPr="00614324" w:rsidRDefault="007C0D98" w:rsidP="008332EF">
            <w:pPr>
              <w:spacing w:line="0" w:lineRule="atLeast"/>
              <w:ind w:left="100"/>
            </w:pPr>
            <w:r w:rsidRPr="00614324">
              <w:rPr>
                <w:rFonts w:hint="eastAsia"/>
              </w:rPr>
              <w:t>原料藥中間體製造廠之變更，宜依細目</w:t>
            </w:r>
            <w:r w:rsidRPr="00614324">
              <w:rPr>
                <w:rFonts w:hint="eastAsia"/>
              </w:rPr>
              <w:t>(</w:t>
            </w:r>
            <w:r w:rsidRPr="00614324">
              <w:rPr>
                <w:rFonts w:hint="eastAsia"/>
              </w:rPr>
              <w:t>四</w:t>
            </w:r>
            <w:r w:rsidRPr="00614324">
              <w:rPr>
                <w:rFonts w:hint="eastAsia"/>
              </w:rPr>
              <w:t>)</w:t>
            </w:r>
            <w:r w:rsidRPr="00614324">
              <w:rPr>
                <w:rFonts w:hint="eastAsia"/>
              </w:rPr>
              <w:t>的其他變更管理。</w:t>
            </w:r>
          </w:p>
        </w:tc>
        <w:tc>
          <w:tcPr>
            <w:tcW w:w="5103" w:type="dxa"/>
          </w:tcPr>
          <w:p w:rsidR="007C0D98" w:rsidRPr="00614324" w:rsidRDefault="007C0D98" w:rsidP="00733040">
            <w:r w:rsidRPr="00614324">
              <w:rPr>
                <w:rFonts w:hint="eastAsia"/>
              </w:rPr>
              <w:t>不同原料藥中間體恐影響合成步驟與原料藥成品之不純物，</w:t>
            </w:r>
            <w:r w:rsidRPr="007C0D98">
              <w:rPr>
                <w:rFonts w:hint="eastAsia"/>
              </w:rPr>
              <w:t>係屬主要變更，</w:t>
            </w:r>
            <w:r w:rsidRPr="00614324">
              <w:rPr>
                <w:rFonts w:hint="eastAsia"/>
              </w:rPr>
              <w:t>如有變更或增列時，仍應至本署辦理變更。</w:t>
            </w:r>
          </w:p>
        </w:tc>
      </w:tr>
      <w:tr w:rsidR="007C0D98" w:rsidRPr="00614324" w:rsidTr="00F5790F">
        <w:trPr>
          <w:trHeight w:val="750"/>
        </w:trPr>
        <w:tc>
          <w:tcPr>
            <w:tcW w:w="404" w:type="dxa"/>
          </w:tcPr>
          <w:p w:rsidR="007C0D98" w:rsidRPr="005448E0" w:rsidRDefault="005448E0" w:rsidP="008332EF">
            <w:pPr>
              <w:rPr>
                <w:sz w:val="18"/>
                <w:szCs w:val="18"/>
              </w:rPr>
            </w:pPr>
            <w:r w:rsidRPr="005448E0">
              <w:rPr>
                <w:rFonts w:hint="eastAsia"/>
                <w:sz w:val="18"/>
                <w:szCs w:val="18"/>
              </w:rPr>
              <w:t>12</w:t>
            </w:r>
          </w:p>
          <w:p w:rsidR="005448E0" w:rsidRPr="00D34C4E" w:rsidRDefault="005448E0" w:rsidP="008332EF">
            <w:pPr>
              <w:rPr>
                <w:sz w:val="20"/>
                <w:szCs w:val="20"/>
              </w:rPr>
            </w:pPr>
          </w:p>
        </w:tc>
        <w:tc>
          <w:tcPr>
            <w:tcW w:w="1206" w:type="dxa"/>
          </w:tcPr>
          <w:p w:rsidR="007C0D98" w:rsidRPr="00614324" w:rsidRDefault="007C0D98" w:rsidP="008332EF">
            <w:r w:rsidRPr="00614324">
              <w:rPr>
                <w:rFonts w:hint="eastAsia"/>
              </w:rPr>
              <w:t>台灣神隆</w:t>
            </w:r>
          </w:p>
        </w:tc>
        <w:tc>
          <w:tcPr>
            <w:tcW w:w="8563" w:type="dxa"/>
          </w:tcPr>
          <w:p w:rsidR="007C0D98" w:rsidRPr="00614324" w:rsidRDefault="007C0D98" w:rsidP="0007534F">
            <w:pPr>
              <w:spacing w:line="0" w:lineRule="atLeast"/>
              <w:ind w:left="100"/>
              <w:rPr>
                <w:b/>
              </w:rPr>
            </w:pPr>
            <w:r w:rsidRPr="00614324">
              <w:rPr>
                <w:rFonts w:hint="eastAsia"/>
                <w:b/>
              </w:rPr>
              <w:t>十、藥品登記事項變更及許可證展延、補發</w:t>
            </w:r>
          </w:p>
          <w:p w:rsidR="007C0D98" w:rsidRPr="00614324" w:rsidRDefault="007C0D98" w:rsidP="0007534F">
            <w:pPr>
              <w:spacing w:line="360" w:lineRule="exact"/>
              <w:ind w:left="100"/>
              <w:rPr>
                <w:b/>
              </w:rPr>
            </w:pPr>
            <w:r w:rsidRPr="00614324">
              <w:rPr>
                <w:rFonts w:hint="eastAsia"/>
                <w:b/>
              </w:rPr>
              <w:t>(</w:t>
            </w:r>
            <w:r w:rsidRPr="00614324">
              <w:rPr>
                <w:rFonts w:hint="eastAsia"/>
                <w:b/>
              </w:rPr>
              <w:t>四</w:t>
            </w:r>
            <w:r w:rsidRPr="00614324">
              <w:rPr>
                <w:rFonts w:hint="eastAsia"/>
                <w:b/>
              </w:rPr>
              <w:t>)</w:t>
            </w:r>
            <w:r w:rsidRPr="00614324">
              <w:rPr>
                <w:rFonts w:hint="eastAsia"/>
                <w:b/>
              </w:rPr>
              <w:t>前三目以外之其他變更</w:t>
            </w:r>
            <w:r w:rsidRPr="00614324">
              <w:rPr>
                <w:rFonts w:hint="eastAsia"/>
                <w:b/>
              </w:rPr>
              <w:t>(</w:t>
            </w:r>
            <w:r w:rsidRPr="00614324">
              <w:rPr>
                <w:rFonts w:hint="eastAsia"/>
                <w:b/>
              </w:rPr>
              <w:t>原收費</w:t>
            </w:r>
            <w:r w:rsidRPr="00614324">
              <w:rPr>
                <w:rFonts w:hint="eastAsia"/>
                <w:b/>
              </w:rPr>
              <w:t>5,000</w:t>
            </w:r>
            <w:r w:rsidRPr="00614324">
              <w:rPr>
                <w:rFonts w:hint="eastAsia"/>
                <w:b/>
              </w:rPr>
              <w:t>元，新收費</w:t>
            </w:r>
            <w:r w:rsidRPr="00614324">
              <w:rPr>
                <w:rFonts w:hint="eastAsia"/>
                <w:b/>
              </w:rPr>
              <w:t>10,000</w:t>
            </w:r>
            <w:r w:rsidRPr="00614324">
              <w:rPr>
                <w:rFonts w:hint="eastAsia"/>
                <w:b/>
              </w:rPr>
              <w:t>元</w:t>
            </w:r>
            <w:r w:rsidRPr="00614324">
              <w:rPr>
                <w:rFonts w:hint="eastAsia"/>
                <w:b/>
              </w:rPr>
              <w:t>)</w:t>
            </w:r>
          </w:p>
          <w:p w:rsidR="007C0D98" w:rsidRPr="00614324" w:rsidRDefault="007C0D98" w:rsidP="00D34C4E">
            <w:pPr>
              <w:spacing w:line="360" w:lineRule="exact"/>
              <w:ind w:left="100"/>
            </w:pPr>
            <w:r w:rsidRPr="00614324">
              <w:rPr>
                <w:rFonts w:hint="eastAsia"/>
              </w:rPr>
              <w:t>建議將不同變更分級後，價錢也同樣分級，如</w:t>
            </w:r>
            <w:r w:rsidRPr="00614324">
              <w:rPr>
                <w:rFonts w:hint="eastAsia"/>
              </w:rPr>
              <w:t>m</w:t>
            </w:r>
            <w:r w:rsidR="00D34C4E">
              <w:rPr>
                <w:rFonts w:hint="eastAsia"/>
              </w:rPr>
              <w:t>in</w:t>
            </w:r>
            <w:r w:rsidRPr="00614324">
              <w:rPr>
                <w:rFonts w:hint="eastAsia"/>
              </w:rPr>
              <w:t>or change</w:t>
            </w:r>
            <w:r w:rsidRPr="00614324">
              <w:rPr>
                <w:rFonts w:hint="eastAsia"/>
              </w:rPr>
              <w:t>審查時間少，收費宜低於</w:t>
            </w:r>
            <w:r w:rsidRPr="00614324">
              <w:rPr>
                <w:rFonts w:hint="eastAsia"/>
              </w:rPr>
              <w:t>major change</w:t>
            </w:r>
            <w:r w:rsidRPr="00614324">
              <w:rPr>
                <w:rFonts w:hint="eastAsia"/>
              </w:rPr>
              <w:t>。</w:t>
            </w:r>
          </w:p>
        </w:tc>
        <w:tc>
          <w:tcPr>
            <w:tcW w:w="5103" w:type="dxa"/>
          </w:tcPr>
          <w:p w:rsidR="007C0D98" w:rsidRPr="00614324" w:rsidRDefault="007C0D98" w:rsidP="008F1D97">
            <w:r w:rsidRPr="008F1D97">
              <w:rPr>
                <w:rFonts w:hint="eastAsia"/>
                <w:kern w:val="0"/>
              </w:rPr>
              <w:t>目前之收費標準已涵蓋此概念。</w:t>
            </w:r>
          </w:p>
        </w:tc>
      </w:tr>
      <w:tr w:rsidR="007C0D98" w:rsidRPr="00614324" w:rsidTr="00F5790F">
        <w:tc>
          <w:tcPr>
            <w:tcW w:w="404" w:type="dxa"/>
          </w:tcPr>
          <w:p w:rsidR="007C0D98" w:rsidRPr="005448E0" w:rsidRDefault="005448E0" w:rsidP="008332EF">
            <w:pPr>
              <w:rPr>
                <w:sz w:val="18"/>
                <w:szCs w:val="18"/>
              </w:rPr>
            </w:pPr>
            <w:r w:rsidRPr="005448E0">
              <w:rPr>
                <w:rFonts w:hint="eastAsia"/>
                <w:sz w:val="18"/>
                <w:szCs w:val="18"/>
              </w:rPr>
              <w:t>13</w:t>
            </w:r>
          </w:p>
        </w:tc>
        <w:tc>
          <w:tcPr>
            <w:tcW w:w="1206" w:type="dxa"/>
          </w:tcPr>
          <w:p w:rsidR="007C0D98" w:rsidRPr="00614324" w:rsidRDefault="007C0D98" w:rsidP="008332EF">
            <w:r w:rsidRPr="00614324">
              <w:rPr>
                <w:rFonts w:hint="eastAsia"/>
              </w:rPr>
              <w:t>台灣神隆</w:t>
            </w:r>
          </w:p>
        </w:tc>
        <w:tc>
          <w:tcPr>
            <w:tcW w:w="8563" w:type="dxa"/>
          </w:tcPr>
          <w:p w:rsidR="007C0D98" w:rsidRPr="00614324" w:rsidRDefault="007C0D98" w:rsidP="0007534F">
            <w:pPr>
              <w:spacing w:line="0" w:lineRule="atLeast"/>
              <w:ind w:left="100"/>
              <w:rPr>
                <w:b/>
              </w:rPr>
            </w:pPr>
            <w:r w:rsidRPr="00614324">
              <w:rPr>
                <w:rFonts w:hint="eastAsia"/>
                <w:b/>
              </w:rPr>
              <w:t>十、藥品登記事項變更及許可證展延、補發</w:t>
            </w:r>
          </w:p>
          <w:p w:rsidR="007C0D98" w:rsidRPr="00614324" w:rsidRDefault="007C0D98" w:rsidP="0007534F">
            <w:pPr>
              <w:spacing w:line="360" w:lineRule="exact"/>
              <w:ind w:left="100"/>
              <w:rPr>
                <w:b/>
              </w:rPr>
            </w:pPr>
            <w:r w:rsidRPr="00614324">
              <w:rPr>
                <w:rFonts w:hint="eastAsia"/>
                <w:b/>
              </w:rPr>
              <w:t>(</w:t>
            </w:r>
            <w:r w:rsidRPr="00614324">
              <w:rPr>
                <w:rFonts w:hint="eastAsia"/>
                <w:b/>
              </w:rPr>
              <w:t>六</w:t>
            </w:r>
            <w:r w:rsidRPr="00614324">
              <w:rPr>
                <w:rFonts w:hint="eastAsia"/>
                <w:b/>
              </w:rPr>
              <w:t>)</w:t>
            </w:r>
            <w:r w:rsidRPr="00614324">
              <w:rPr>
                <w:rFonts w:hint="eastAsia"/>
                <w:b/>
              </w:rPr>
              <w:t>藥物原核准許可證有效期間展延</w:t>
            </w:r>
            <w:r w:rsidRPr="00614324">
              <w:rPr>
                <w:rFonts w:hint="eastAsia"/>
                <w:b/>
              </w:rPr>
              <w:t>(</w:t>
            </w:r>
            <w:r w:rsidRPr="00614324">
              <w:rPr>
                <w:rFonts w:hint="eastAsia"/>
                <w:b/>
              </w:rPr>
              <w:t>原收費</w:t>
            </w:r>
            <w:r w:rsidRPr="00614324">
              <w:rPr>
                <w:rFonts w:hint="eastAsia"/>
                <w:b/>
              </w:rPr>
              <w:t>3,000</w:t>
            </w:r>
            <w:r w:rsidRPr="00614324">
              <w:rPr>
                <w:rFonts w:hint="eastAsia"/>
                <w:b/>
              </w:rPr>
              <w:t>元，新收費</w:t>
            </w:r>
            <w:r w:rsidRPr="00614324">
              <w:rPr>
                <w:rFonts w:hint="eastAsia"/>
                <w:b/>
              </w:rPr>
              <w:t>8,000</w:t>
            </w:r>
            <w:r w:rsidRPr="00614324">
              <w:rPr>
                <w:rFonts w:hint="eastAsia"/>
                <w:b/>
              </w:rPr>
              <w:t>元</w:t>
            </w:r>
            <w:r w:rsidRPr="00614324">
              <w:rPr>
                <w:rFonts w:hint="eastAsia"/>
                <w:b/>
              </w:rPr>
              <w:t>)</w:t>
            </w:r>
          </w:p>
          <w:p w:rsidR="007C0D98" w:rsidRPr="00614324" w:rsidRDefault="007C0D98" w:rsidP="003A44FB">
            <w:pPr>
              <w:spacing w:line="360" w:lineRule="exact"/>
              <w:ind w:left="100"/>
              <w:rPr>
                <w:rFonts w:ascii="新細明體" w:eastAsia="新細明體" w:hAnsi="新細明體" w:cs="新細明體"/>
                <w:kern w:val="0"/>
                <w:sz w:val="23"/>
                <w:szCs w:val="23"/>
              </w:rPr>
            </w:pPr>
            <w:r w:rsidRPr="00614324">
              <w:rPr>
                <w:rFonts w:hint="eastAsia"/>
              </w:rPr>
              <w:t>此費用應包括許可證，核備函與電子簽審文件碼展延的一次費用，三者不應重複收費。</w:t>
            </w:r>
          </w:p>
        </w:tc>
        <w:tc>
          <w:tcPr>
            <w:tcW w:w="5103" w:type="dxa"/>
          </w:tcPr>
          <w:p w:rsidR="007C0D98" w:rsidRPr="00614324" w:rsidRDefault="007C0D98" w:rsidP="000518E1">
            <w:r w:rsidRPr="00614324">
              <w:rPr>
                <w:rFonts w:hint="eastAsia"/>
                <w:kern w:val="0"/>
              </w:rPr>
              <w:t>本項係因神隆公司屬於境外廠商，故其許可證除輸出之簽審文件碼外，尚須申請一個</w:t>
            </w:r>
            <w:r w:rsidRPr="00614324">
              <w:rPr>
                <w:kern w:val="0"/>
              </w:rPr>
              <w:t>DHM</w:t>
            </w:r>
            <w:r w:rsidRPr="00614324">
              <w:rPr>
                <w:rFonts w:hint="eastAsia"/>
                <w:kern w:val="0"/>
              </w:rPr>
              <w:t>的電子簽審文件碼，該文件碼效期與許可證有效期限相同</w:t>
            </w:r>
            <w:r w:rsidRPr="007C0D98">
              <w:rPr>
                <w:rFonts w:hint="eastAsia"/>
                <w:kern w:val="0"/>
              </w:rPr>
              <w:t>且審查要件資料不同，故需收取費用。且本案係屬特殊申請，宜分開收取所需費用。</w:t>
            </w:r>
          </w:p>
        </w:tc>
      </w:tr>
      <w:tr w:rsidR="007C0D98" w:rsidRPr="00614324" w:rsidTr="00F5790F">
        <w:tc>
          <w:tcPr>
            <w:tcW w:w="404" w:type="dxa"/>
          </w:tcPr>
          <w:p w:rsidR="007C0D98" w:rsidRPr="005448E0" w:rsidRDefault="005448E0" w:rsidP="008332EF">
            <w:pPr>
              <w:rPr>
                <w:sz w:val="18"/>
                <w:szCs w:val="18"/>
              </w:rPr>
            </w:pPr>
            <w:r w:rsidRPr="005448E0">
              <w:rPr>
                <w:rFonts w:hint="eastAsia"/>
                <w:sz w:val="18"/>
                <w:szCs w:val="18"/>
              </w:rPr>
              <w:t>14</w:t>
            </w:r>
          </w:p>
        </w:tc>
        <w:tc>
          <w:tcPr>
            <w:tcW w:w="1206" w:type="dxa"/>
          </w:tcPr>
          <w:p w:rsidR="007C0D98" w:rsidRPr="00614324" w:rsidRDefault="007C0D98" w:rsidP="008332EF">
            <w:r>
              <w:rPr>
                <w:rFonts w:hint="eastAsia"/>
              </w:rPr>
              <w:t>IRPMA</w:t>
            </w:r>
          </w:p>
        </w:tc>
        <w:tc>
          <w:tcPr>
            <w:tcW w:w="856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46"/>
              <w:gridCol w:w="2552"/>
              <w:gridCol w:w="2268"/>
            </w:tblGrid>
            <w:tr w:rsidR="007C0D98" w:rsidRPr="00614324" w:rsidTr="00D5506D">
              <w:trPr>
                <w:trHeight w:val="119"/>
              </w:trPr>
              <w:tc>
                <w:tcPr>
                  <w:tcW w:w="1242" w:type="dxa"/>
                </w:tcPr>
                <w:p w:rsidR="007C0D98" w:rsidRPr="00F5790F" w:rsidRDefault="007C0D98" w:rsidP="00CC07C6">
                  <w:pPr>
                    <w:pStyle w:val="Default"/>
                    <w:rPr>
                      <w:color w:val="auto"/>
                      <w:sz w:val="22"/>
                      <w:szCs w:val="22"/>
                    </w:rPr>
                  </w:pPr>
                  <w:r w:rsidRPr="00F5790F">
                    <w:rPr>
                      <w:rFonts w:hint="eastAsia"/>
                      <w:color w:val="auto"/>
                      <w:sz w:val="22"/>
                      <w:szCs w:val="22"/>
                    </w:rPr>
                    <w:t>第二條</w:t>
                  </w:r>
                  <w:r w:rsidRPr="00F5790F">
                    <w:rPr>
                      <w:color w:val="auto"/>
                      <w:sz w:val="22"/>
                      <w:szCs w:val="22"/>
                    </w:rPr>
                    <w:t xml:space="preserve"> </w:t>
                  </w:r>
                </w:p>
              </w:tc>
              <w:tc>
                <w:tcPr>
                  <w:tcW w:w="2246" w:type="dxa"/>
                </w:tcPr>
                <w:p w:rsidR="007C0D98" w:rsidRPr="00F5790F" w:rsidRDefault="007C0D98" w:rsidP="00CC07C6">
                  <w:pPr>
                    <w:pStyle w:val="Default"/>
                    <w:rPr>
                      <w:color w:val="auto"/>
                      <w:sz w:val="22"/>
                      <w:szCs w:val="22"/>
                    </w:rPr>
                  </w:pPr>
                  <w:r w:rsidRPr="00F5790F">
                    <w:rPr>
                      <w:rFonts w:hint="eastAsia"/>
                      <w:color w:val="auto"/>
                      <w:sz w:val="22"/>
                      <w:szCs w:val="22"/>
                    </w:rPr>
                    <w:t>草案原文</w:t>
                  </w:r>
                  <w:r w:rsidRPr="00F5790F">
                    <w:rPr>
                      <w:color w:val="auto"/>
                      <w:sz w:val="22"/>
                      <w:szCs w:val="22"/>
                    </w:rPr>
                    <w:t xml:space="preserve"> </w:t>
                  </w:r>
                </w:p>
              </w:tc>
              <w:tc>
                <w:tcPr>
                  <w:tcW w:w="2552" w:type="dxa"/>
                </w:tcPr>
                <w:p w:rsidR="007C0D98" w:rsidRPr="00F5790F" w:rsidRDefault="007C0D98" w:rsidP="00CC07C6">
                  <w:pPr>
                    <w:pStyle w:val="Default"/>
                    <w:rPr>
                      <w:color w:val="auto"/>
                      <w:sz w:val="22"/>
                      <w:szCs w:val="22"/>
                    </w:rPr>
                  </w:pPr>
                  <w:r w:rsidRPr="00F5790F">
                    <w:rPr>
                      <w:rFonts w:hint="eastAsia"/>
                      <w:color w:val="auto"/>
                      <w:sz w:val="22"/>
                      <w:szCs w:val="22"/>
                    </w:rPr>
                    <w:t>建議</w:t>
                  </w:r>
                  <w:r w:rsidRPr="00F5790F">
                    <w:rPr>
                      <w:color w:val="auto"/>
                      <w:sz w:val="22"/>
                      <w:szCs w:val="22"/>
                    </w:rPr>
                    <w:t xml:space="preserve"> </w:t>
                  </w:r>
                </w:p>
              </w:tc>
              <w:tc>
                <w:tcPr>
                  <w:tcW w:w="2268" w:type="dxa"/>
                </w:tcPr>
                <w:p w:rsidR="007C0D98" w:rsidRPr="00F5790F" w:rsidRDefault="007C0D98" w:rsidP="00CC07C6">
                  <w:pPr>
                    <w:pStyle w:val="Default"/>
                    <w:rPr>
                      <w:color w:val="auto"/>
                      <w:sz w:val="22"/>
                      <w:szCs w:val="22"/>
                    </w:rPr>
                  </w:pPr>
                  <w:r w:rsidRPr="00F5790F">
                    <w:rPr>
                      <w:rFonts w:hint="eastAsia"/>
                      <w:color w:val="auto"/>
                      <w:sz w:val="22"/>
                      <w:szCs w:val="22"/>
                    </w:rPr>
                    <w:t>理由</w:t>
                  </w:r>
                  <w:r w:rsidRPr="00F5790F">
                    <w:rPr>
                      <w:color w:val="auto"/>
                      <w:sz w:val="22"/>
                      <w:szCs w:val="22"/>
                    </w:rPr>
                    <w:t xml:space="preserve"> </w:t>
                  </w:r>
                </w:p>
              </w:tc>
            </w:tr>
            <w:tr w:rsidR="007C0D98" w:rsidRPr="00614324" w:rsidTr="00D5506D">
              <w:trPr>
                <w:trHeight w:val="760"/>
              </w:trPr>
              <w:tc>
                <w:tcPr>
                  <w:tcW w:w="1242" w:type="dxa"/>
                  <w:tcBorders>
                    <w:top w:val="single" w:sz="4" w:space="0" w:color="auto"/>
                    <w:left w:val="single" w:sz="4" w:space="0" w:color="auto"/>
                    <w:bottom w:val="single" w:sz="4" w:space="0" w:color="auto"/>
                    <w:right w:val="single" w:sz="4" w:space="0" w:color="auto"/>
                  </w:tcBorders>
                </w:tcPr>
                <w:p w:rsidR="007C0D98" w:rsidRPr="00F5790F" w:rsidRDefault="007C0D98" w:rsidP="00CC07C6">
                  <w:pPr>
                    <w:pStyle w:val="Default"/>
                    <w:rPr>
                      <w:color w:val="auto"/>
                      <w:sz w:val="22"/>
                      <w:szCs w:val="22"/>
                    </w:rPr>
                  </w:pPr>
                  <w:r w:rsidRPr="00F5790F">
                    <w:rPr>
                      <w:rFonts w:hint="eastAsia"/>
                      <w:color w:val="auto"/>
                      <w:sz w:val="22"/>
                      <w:szCs w:val="22"/>
                    </w:rPr>
                    <w:t>十、藥品登記事項變更及許可證展延、補發</w:t>
                  </w:r>
                </w:p>
              </w:tc>
              <w:tc>
                <w:tcPr>
                  <w:tcW w:w="2246" w:type="dxa"/>
                  <w:tcBorders>
                    <w:top w:val="single" w:sz="4" w:space="0" w:color="auto"/>
                    <w:left w:val="single" w:sz="4" w:space="0" w:color="auto"/>
                    <w:bottom w:val="single" w:sz="4" w:space="0" w:color="auto"/>
                    <w:right w:val="single" w:sz="4" w:space="0" w:color="auto"/>
                  </w:tcBorders>
                </w:tcPr>
                <w:p w:rsidR="007C0D98" w:rsidRPr="00F5790F" w:rsidRDefault="007C0D98" w:rsidP="00CC07C6">
                  <w:pPr>
                    <w:pStyle w:val="Default"/>
                    <w:rPr>
                      <w:rFonts w:ascii="新細明體o浡渀." w:eastAsia="新細明體o浡渀." w:cs="新細明體o浡渀."/>
                      <w:color w:val="auto"/>
                      <w:sz w:val="22"/>
                      <w:szCs w:val="22"/>
                    </w:rPr>
                  </w:pPr>
                  <w:r w:rsidRPr="00F5790F">
                    <w:rPr>
                      <w:rFonts w:hint="eastAsia"/>
                      <w:color w:val="auto"/>
                      <w:sz w:val="22"/>
                      <w:szCs w:val="22"/>
                    </w:rPr>
                    <w:t>（一）生物藥品變更或新增原料藥廠，以及生物藥品變更成品製造廠，新臺幣十五萬元。</w:t>
                  </w:r>
                </w:p>
              </w:tc>
              <w:tc>
                <w:tcPr>
                  <w:tcW w:w="2552" w:type="dxa"/>
                  <w:tcBorders>
                    <w:top w:val="single" w:sz="4" w:space="0" w:color="auto"/>
                    <w:left w:val="single" w:sz="4" w:space="0" w:color="auto"/>
                    <w:bottom w:val="single" w:sz="4" w:space="0" w:color="auto"/>
                    <w:right w:val="single" w:sz="4" w:space="0" w:color="auto"/>
                  </w:tcBorders>
                </w:tcPr>
                <w:p w:rsidR="007C0D98" w:rsidRPr="00F5790F" w:rsidRDefault="007C0D98" w:rsidP="00CC07C6">
                  <w:pPr>
                    <w:pStyle w:val="Default"/>
                    <w:rPr>
                      <w:color w:val="auto"/>
                      <w:sz w:val="22"/>
                      <w:szCs w:val="22"/>
                    </w:rPr>
                  </w:pPr>
                  <w:r w:rsidRPr="00F5790F">
                    <w:rPr>
                      <w:rFonts w:hint="eastAsia"/>
                      <w:color w:val="auto"/>
                      <w:sz w:val="22"/>
                      <w:szCs w:val="22"/>
                    </w:rPr>
                    <w:t>（一）生物藥品變更或新增原料藥廠，</w:t>
                  </w:r>
                  <w:r w:rsidRPr="00F5790F">
                    <w:rPr>
                      <w:rFonts w:hint="eastAsia"/>
                      <w:strike/>
                      <w:color w:val="auto"/>
                      <w:sz w:val="22"/>
                      <w:szCs w:val="22"/>
                    </w:rPr>
                    <w:t>以及生物藥品變更成品製造廠</w:t>
                  </w:r>
                  <w:r w:rsidRPr="00F5790F">
                    <w:rPr>
                      <w:rFonts w:hint="eastAsia"/>
                      <w:color w:val="auto"/>
                      <w:sz w:val="22"/>
                      <w:szCs w:val="22"/>
                    </w:rPr>
                    <w:t>，新臺幣十五萬元。</w:t>
                  </w:r>
                  <w:r w:rsidRPr="00F5790F">
                    <w:rPr>
                      <w:color w:val="auto"/>
                      <w:sz w:val="22"/>
                      <w:szCs w:val="22"/>
                    </w:rPr>
                    <w:t xml:space="preserve"> </w:t>
                  </w:r>
                </w:p>
                <w:p w:rsidR="007C0D98" w:rsidRPr="00F5790F" w:rsidRDefault="007C0D98" w:rsidP="00CC07C6">
                  <w:pPr>
                    <w:pStyle w:val="Default"/>
                    <w:rPr>
                      <w:rFonts w:ascii="新細明體o浡渀." w:eastAsia="新細明體o浡渀." w:cs="新細明體o浡渀."/>
                      <w:color w:val="auto"/>
                      <w:sz w:val="22"/>
                      <w:szCs w:val="22"/>
                    </w:rPr>
                  </w:pPr>
                  <w:r w:rsidRPr="00F5790F">
                    <w:rPr>
                      <w:rFonts w:hint="eastAsia"/>
                      <w:color w:val="auto"/>
                      <w:sz w:val="22"/>
                      <w:szCs w:val="22"/>
                    </w:rPr>
                    <w:t>（二）生物藥品變更成品製造廠，新臺幣三萬元。</w:t>
                  </w:r>
                </w:p>
              </w:tc>
              <w:tc>
                <w:tcPr>
                  <w:tcW w:w="2268" w:type="dxa"/>
                  <w:tcBorders>
                    <w:top w:val="single" w:sz="4" w:space="0" w:color="auto"/>
                    <w:left w:val="single" w:sz="4" w:space="0" w:color="auto"/>
                    <w:bottom w:val="single" w:sz="4" w:space="0" w:color="auto"/>
                    <w:right w:val="single" w:sz="4" w:space="0" w:color="auto"/>
                  </w:tcBorders>
                </w:tcPr>
                <w:p w:rsidR="007C0D98" w:rsidRPr="00F5790F" w:rsidRDefault="007C0D98" w:rsidP="00CC07C6">
                  <w:pPr>
                    <w:pStyle w:val="Default"/>
                    <w:rPr>
                      <w:rFonts w:ascii="Calibri" w:hAnsi="Calibri" w:cs="Calibri"/>
                      <w:color w:val="auto"/>
                      <w:sz w:val="22"/>
                      <w:szCs w:val="22"/>
                    </w:rPr>
                  </w:pPr>
                  <w:r w:rsidRPr="00F5790F">
                    <w:rPr>
                      <w:rFonts w:ascii="Wingdings" w:hAnsi="Wingdings" w:cs="Wingdings"/>
                      <w:color w:val="auto"/>
                      <w:sz w:val="22"/>
                      <w:szCs w:val="22"/>
                    </w:rPr>
                    <w:t></w:t>
                  </w:r>
                  <w:r w:rsidRPr="00F5790F">
                    <w:rPr>
                      <w:rFonts w:hAnsi="Wingdings" w:hint="eastAsia"/>
                      <w:color w:val="auto"/>
                      <w:sz w:val="22"/>
                      <w:szCs w:val="22"/>
                    </w:rPr>
                    <w:t>＂生物藥品變更或新增原料藥廠之變更案＂為已核准之生物藥品dual source之變更, 確實需人力審查，故新臺幣十五萬元合理；但＂生物藥品變更成品製造廠＂與一般藥品產地變更或遷廠無異，依目前新收費標準，應修改為三萬元。</w:t>
                  </w:r>
                </w:p>
              </w:tc>
            </w:tr>
            <w:tr w:rsidR="007C0D98" w:rsidRPr="00614324" w:rsidTr="00D5506D">
              <w:trPr>
                <w:trHeight w:val="1224"/>
              </w:trPr>
              <w:tc>
                <w:tcPr>
                  <w:tcW w:w="1242" w:type="dxa"/>
                  <w:tcBorders>
                    <w:top w:val="single" w:sz="4" w:space="0" w:color="auto"/>
                    <w:left w:val="single" w:sz="4" w:space="0" w:color="auto"/>
                    <w:bottom w:val="single" w:sz="4" w:space="0" w:color="auto"/>
                    <w:right w:val="single" w:sz="4" w:space="0" w:color="auto"/>
                  </w:tcBorders>
                </w:tcPr>
                <w:p w:rsidR="007C0D98" w:rsidRPr="00F5790F" w:rsidRDefault="007C0D98" w:rsidP="00CC07C6">
                  <w:pPr>
                    <w:pStyle w:val="Default"/>
                    <w:rPr>
                      <w:color w:val="auto"/>
                      <w:sz w:val="22"/>
                      <w:szCs w:val="22"/>
                    </w:rPr>
                  </w:pPr>
                </w:p>
              </w:tc>
              <w:tc>
                <w:tcPr>
                  <w:tcW w:w="2246" w:type="dxa"/>
                  <w:tcBorders>
                    <w:top w:val="single" w:sz="4" w:space="0" w:color="auto"/>
                    <w:left w:val="single" w:sz="4" w:space="0" w:color="auto"/>
                    <w:bottom w:val="single" w:sz="4" w:space="0" w:color="auto"/>
                    <w:right w:val="single" w:sz="4" w:space="0" w:color="auto"/>
                  </w:tcBorders>
                </w:tcPr>
                <w:p w:rsidR="007C0D98" w:rsidRPr="00F5790F" w:rsidRDefault="007C0D98" w:rsidP="00CC07C6">
                  <w:pPr>
                    <w:pStyle w:val="Default"/>
                    <w:rPr>
                      <w:rFonts w:ascii="新細明體o浡渀." w:eastAsia="新細明體o浡渀." w:cs="新細明體o浡渀."/>
                      <w:color w:val="auto"/>
                      <w:sz w:val="22"/>
                      <w:szCs w:val="22"/>
                    </w:rPr>
                  </w:pPr>
                  <w:r w:rsidRPr="00F5790F">
                    <w:rPr>
                      <w:color w:val="auto"/>
                      <w:sz w:val="22"/>
                      <w:szCs w:val="22"/>
                    </w:rPr>
                    <w:t>(</w:t>
                  </w:r>
                  <w:r w:rsidRPr="00F5790F">
                    <w:rPr>
                      <w:rFonts w:ascii="新細明體o浡渀." w:eastAsia="新細明體o浡渀." w:cs="新細明體o浡渀." w:hint="eastAsia"/>
                      <w:color w:val="auto"/>
                      <w:sz w:val="22"/>
                      <w:szCs w:val="22"/>
                    </w:rPr>
                    <w:t>三</w:t>
                  </w:r>
                  <w:r w:rsidRPr="00F5790F">
                    <w:rPr>
                      <w:rFonts w:eastAsia="新細明體o浡渀."/>
                      <w:color w:val="auto"/>
                      <w:sz w:val="22"/>
                      <w:szCs w:val="22"/>
                    </w:rPr>
                    <w:t xml:space="preserve">) </w:t>
                  </w:r>
                  <w:r w:rsidRPr="00F5790F">
                    <w:rPr>
                      <w:rFonts w:ascii="新細明體o浡渀." w:eastAsia="新細明體o浡渀." w:cs="新細明體o浡渀." w:hint="eastAsia"/>
                      <w:color w:val="auto"/>
                      <w:sz w:val="22"/>
                      <w:szCs w:val="22"/>
                    </w:rPr>
                    <w:t>委託製造、移轉、合併、產地或遷廠變更，新臺幣三萬元。</w:t>
                  </w:r>
                  <w:r w:rsidRPr="00F5790F">
                    <w:rPr>
                      <w:rFonts w:ascii="新細明體o浡渀." w:eastAsia="新細明體o浡渀." w:cs="新細明體o浡渀."/>
                      <w:color w:val="auto"/>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tcPr>
                <w:p w:rsidR="007C0D98" w:rsidRPr="00F5790F" w:rsidRDefault="007C0D98" w:rsidP="00CC07C6">
                  <w:pPr>
                    <w:pStyle w:val="Default"/>
                    <w:rPr>
                      <w:rFonts w:ascii="新細明體o浡渀." w:eastAsia="新細明體o浡渀." w:cs="新細明體o浡渀."/>
                      <w:color w:val="auto"/>
                      <w:sz w:val="22"/>
                      <w:szCs w:val="22"/>
                    </w:rPr>
                  </w:pPr>
                  <w:r w:rsidRPr="00F5790F">
                    <w:rPr>
                      <w:rFonts w:ascii="新細明體o浡渀." w:eastAsia="新細明體o浡渀." w:cs="新細明體o浡渀." w:hint="eastAsia"/>
                      <w:color w:val="auto"/>
                      <w:sz w:val="22"/>
                      <w:szCs w:val="22"/>
                    </w:rPr>
                    <w:t>（四）委託製造、產地或遷廠變更，新臺幣三萬元。</w:t>
                  </w:r>
                  <w:r w:rsidRPr="00F5790F">
                    <w:rPr>
                      <w:rFonts w:ascii="新細明體o浡渀." w:eastAsia="新細明體o浡渀." w:cs="新細明體o浡渀."/>
                      <w:color w:val="auto"/>
                      <w:sz w:val="22"/>
                      <w:szCs w:val="22"/>
                    </w:rPr>
                    <w:t xml:space="preserve"> </w:t>
                  </w:r>
                </w:p>
                <w:p w:rsidR="007C0D98" w:rsidRPr="00F5790F" w:rsidRDefault="007C0D98" w:rsidP="00CC07C6">
                  <w:pPr>
                    <w:pStyle w:val="Default"/>
                    <w:rPr>
                      <w:rFonts w:ascii="新細明體o浡渀." w:eastAsia="新細明體o浡渀." w:cs="新細明體o浡渀."/>
                      <w:color w:val="auto"/>
                      <w:sz w:val="22"/>
                      <w:szCs w:val="22"/>
                    </w:rPr>
                  </w:pPr>
                  <w:r w:rsidRPr="00F5790F">
                    <w:rPr>
                      <w:rFonts w:ascii="新細明體o浡渀." w:eastAsia="新細明體o浡渀." w:cs="新細明體o浡渀." w:hint="eastAsia"/>
                      <w:color w:val="auto"/>
                      <w:sz w:val="22"/>
                      <w:szCs w:val="22"/>
                    </w:rPr>
                    <w:t>（五）移轉、合併變更，新臺幣二萬元。</w:t>
                  </w:r>
                  <w:r w:rsidRPr="00F5790F">
                    <w:rPr>
                      <w:rFonts w:ascii="新細明體o浡渀." w:eastAsia="新細明體o浡渀." w:cs="新細明體o浡渀."/>
                      <w:color w:val="auto"/>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rsidR="007C0D98" w:rsidRPr="00F5790F" w:rsidRDefault="007C0D98" w:rsidP="00614324">
                  <w:pPr>
                    <w:pStyle w:val="Default"/>
                    <w:rPr>
                      <w:rFonts w:ascii="新細明體o浡渀." w:eastAsia="新細明體o浡渀." w:cs="新細明體o浡渀."/>
                      <w:color w:val="auto"/>
                      <w:sz w:val="22"/>
                      <w:szCs w:val="22"/>
                    </w:rPr>
                  </w:pPr>
                  <w:r w:rsidRPr="00F5790F">
                    <w:rPr>
                      <w:rFonts w:ascii="Wingdings" w:hAnsi="Wingdings" w:cs="Wingdings"/>
                      <w:color w:val="auto"/>
                      <w:sz w:val="22"/>
                      <w:szCs w:val="22"/>
                    </w:rPr>
                    <w:t></w:t>
                  </w:r>
                  <w:r w:rsidRPr="00F5790F">
                    <w:rPr>
                      <w:rFonts w:ascii="新細明體o浡渀." w:eastAsia="新細明體o浡渀." w:cs="新細明體o浡渀." w:hint="eastAsia"/>
                      <w:color w:val="auto"/>
                      <w:sz w:val="22"/>
                      <w:szCs w:val="22"/>
                    </w:rPr>
                    <w:t>應將須進行技術性文件審查之變更如：委託製造，產地或遷廠變更，維持新台幣三萬元；但如移轉，合併等變更僅為行政文件變更</w:t>
                  </w:r>
                  <w:r w:rsidRPr="00F5790F">
                    <w:rPr>
                      <w:rFonts w:eastAsia="新細明體o浡渀."/>
                      <w:color w:val="auto"/>
                      <w:sz w:val="22"/>
                      <w:szCs w:val="22"/>
                    </w:rPr>
                    <w:t xml:space="preserve">, </w:t>
                  </w:r>
                  <w:r w:rsidRPr="00F5790F">
                    <w:rPr>
                      <w:rFonts w:ascii="新細明體o浡渀." w:eastAsia="新細明體o浡渀." w:cs="新細明體o浡渀." w:hint="eastAsia"/>
                      <w:color w:val="auto"/>
                      <w:sz w:val="22"/>
                      <w:szCs w:val="22"/>
                    </w:rPr>
                    <w:t>並不需要進行技術性文件審查</w:t>
                  </w:r>
                  <w:r w:rsidRPr="00F5790F">
                    <w:rPr>
                      <w:rFonts w:eastAsia="新細明體o浡渀."/>
                      <w:color w:val="auto"/>
                      <w:sz w:val="22"/>
                      <w:szCs w:val="22"/>
                    </w:rPr>
                    <w:t xml:space="preserve">, </w:t>
                  </w:r>
                  <w:r w:rsidRPr="00F5790F">
                    <w:rPr>
                      <w:rFonts w:ascii="新細明體o浡渀." w:eastAsia="新細明體o浡渀." w:cs="新細明體o浡渀." w:hint="eastAsia"/>
                      <w:color w:val="auto"/>
                      <w:sz w:val="22"/>
                      <w:szCs w:val="22"/>
                    </w:rPr>
                    <w:t>故其審查費應調降為二萬元。</w:t>
                  </w:r>
                  <w:r w:rsidRPr="00F5790F">
                    <w:rPr>
                      <w:rFonts w:ascii="新細明體o浡渀." w:eastAsia="新細明體o浡渀." w:cs="新細明體o浡渀."/>
                      <w:color w:val="auto"/>
                      <w:sz w:val="22"/>
                      <w:szCs w:val="22"/>
                    </w:rPr>
                    <w:t xml:space="preserve"> </w:t>
                  </w:r>
                </w:p>
              </w:tc>
            </w:tr>
          </w:tbl>
          <w:p w:rsidR="007C0D98" w:rsidRPr="00614324" w:rsidRDefault="007C0D98" w:rsidP="008332EF">
            <w:pPr>
              <w:rPr>
                <w:rFonts w:ascii="新細明體" w:eastAsia="新細明體" w:hAnsi="新細明體" w:cs="新細明體"/>
                <w:kern w:val="0"/>
                <w:sz w:val="23"/>
                <w:szCs w:val="23"/>
              </w:rPr>
            </w:pPr>
          </w:p>
        </w:tc>
        <w:tc>
          <w:tcPr>
            <w:tcW w:w="5103" w:type="dxa"/>
          </w:tcPr>
          <w:p w:rsidR="007C0D98" w:rsidRPr="00733040" w:rsidRDefault="007C0D98" w:rsidP="00733040">
            <w:pPr>
              <w:shd w:val="clear" w:color="auto" w:fill="FFFFFF" w:themeFill="background1"/>
              <w:rPr>
                <w:kern w:val="0"/>
              </w:rPr>
            </w:pPr>
            <w:r w:rsidRPr="00733040">
              <w:rPr>
                <w:rFonts w:hint="eastAsia"/>
                <w:kern w:val="0"/>
              </w:rPr>
              <w:t>1.</w:t>
            </w:r>
            <w:r w:rsidRPr="00733040">
              <w:rPr>
                <w:rFonts w:hint="eastAsia"/>
                <w:kern w:val="0"/>
              </w:rPr>
              <w:t>因生物藥品之複雜性，即便是變更成品製造廠，仍需其執行比較性試驗，證明變更前後產品一致性，</w:t>
            </w:r>
            <w:r w:rsidRPr="00733040">
              <w:rPr>
                <w:kern w:val="0"/>
              </w:rPr>
              <w:t>CMC</w:t>
            </w:r>
            <w:r w:rsidRPr="00733040">
              <w:rPr>
                <w:rFonts w:hint="eastAsia"/>
                <w:kern w:val="0"/>
              </w:rPr>
              <w:t>審查困難度也比化學藥品高，不能以學名藥審查規費相比。</w:t>
            </w:r>
          </w:p>
          <w:p w:rsidR="007C0D98" w:rsidRPr="00733040" w:rsidRDefault="007C0D98" w:rsidP="0083158A">
            <w:pPr>
              <w:rPr>
                <w:u w:val="single"/>
              </w:rPr>
            </w:pPr>
            <w:r w:rsidRPr="00733040">
              <w:rPr>
                <w:rFonts w:hint="eastAsia"/>
                <w:kern w:val="0"/>
              </w:rPr>
              <w:t>2.</w:t>
            </w:r>
            <w:r w:rsidRPr="00733040">
              <w:rPr>
                <w:rFonts w:hint="eastAsia"/>
                <w:kern w:val="0"/>
              </w:rPr>
              <w:t>未涉及製造廠變更之移轉案件，如僅為行政資料審查，同意審查費用變更為</w:t>
            </w:r>
            <w:r w:rsidRPr="00733040">
              <w:rPr>
                <w:rFonts w:hint="eastAsia"/>
                <w:kern w:val="0"/>
              </w:rPr>
              <w:t>2</w:t>
            </w:r>
            <w:r w:rsidRPr="00733040">
              <w:rPr>
                <w:rFonts w:hint="eastAsia"/>
                <w:kern w:val="0"/>
              </w:rPr>
              <w:t>萬。</w:t>
            </w:r>
          </w:p>
        </w:tc>
      </w:tr>
    </w:tbl>
    <w:p w:rsidR="00C64708" w:rsidRPr="00614324" w:rsidRDefault="00C64708" w:rsidP="00D34C4E"/>
    <w:sectPr w:rsidR="00C64708" w:rsidRPr="00614324" w:rsidSect="00D34C4E">
      <w:footerReference w:type="default" r:id="rId10"/>
      <w:pgSz w:w="16838" w:h="11906" w:orient="landscape"/>
      <w:pgMar w:top="1134"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A40" w:rsidRDefault="007C3A40" w:rsidP="00534148">
      <w:r>
        <w:separator/>
      </w:r>
    </w:p>
  </w:endnote>
  <w:endnote w:type="continuationSeparator" w:id="1">
    <w:p w:rsidR="007C3A40" w:rsidRDefault="007C3A40" w:rsidP="00534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標楷體a.">
    <w:altName w:val="新細明體"/>
    <w:panose1 w:val="00000000000000000000"/>
    <w:charset w:val="88"/>
    <w:family w:val="roman"/>
    <w:notTrueType/>
    <w:pitch w:val="default"/>
    <w:sig w:usb0="00000001" w:usb1="08080000" w:usb2="00000010" w:usb3="00000000" w:csb0="00100000" w:csb1="00000000"/>
  </w:font>
  <w:font w:name="標楷體a.波..">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o浡渀.">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321436"/>
      <w:docPartObj>
        <w:docPartGallery w:val="Page Numbers (Bottom of Page)"/>
        <w:docPartUnique/>
      </w:docPartObj>
    </w:sdtPr>
    <w:sdtContent>
      <w:p w:rsidR="00614324" w:rsidRDefault="004C0A31">
        <w:pPr>
          <w:pStyle w:val="a7"/>
          <w:jc w:val="center"/>
        </w:pPr>
        <w:r>
          <w:fldChar w:fldCharType="begin"/>
        </w:r>
        <w:r w:rsidR="00614324">
          <w:instrText>PAGE   \* MERGEFORMAT</w:instrText>
        </w:r>
        <w:r>
          <w:fldChar w:fldCharType="separate"/>
        </w:r>
        <w:r w:rsidR="00571D09" w:rsidRPr="00571D09">
          <w:rPr>
            <w:noProof/>
            <w:lang w:val="zh-TW"/>
          </w:rPr>
          <w:t>8</w:t>
        </w:r>
        <w:r>
          <w:fldChar w:fldCharType="end"/>
        </w:r>
      </w:p>
    </w:sdtContent>
  </w:sdt>
  <w:p w:rsidR="00614324" w:rsidRDefault="006143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A40" w:rsidRDefault="007C3A40" w:rsidP="00534148">
      <w:r>
        <w:separator/>
      </w:r>
    </w:p>
  </w:footnote>
  <w:footnote w:type="continuationSeparator" w:id="1">
    <w:p w:rsidR="007C3A40" w:rsidRDefault="007C3A40" w:rsidP="00534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714"/>
    <w:multiLevelType w:val="hybridMultilevel"/>
    <w:tmpl w:val="3BFA4306"/>
    <w:lvl w:ilvl="0" w:tplc="A6E2A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A273FC"/>
    <w:multiLevelType w:val="hybridMultilevel"/>
    <w:tmpl w:val="699E6D1E"/>
    <w:lvl w:ilvl="0" w:tplc="D760F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C01A99"/>
    <w:multiLevelType w:val="hybridMultilevel"/>
    <w:tmpl w:val="669CDC30"/>
    <w:lvl w:ilvl="0" w:tplc="9B8E3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3B1724"/>
    <w:multiLevelType w:val="multilevel"/>
    <w:tmpl w:val="94E0CB3A"/>
    <w:lvl w:ilvl="0">
      <w:start w:val="1"/>
      <w:numFmt w:val="decimal"/>
      <w:lvlText w:val="%1、"/>
      <w:lvlJc w:val="left"/>
      <w:pPr>
        <w:ind w:left="0" w:firstLine="0"/>
      </w:pPr>
      <w:rPr>
        <w:rFonts w:ascii="新細明體" w:eastAsia="新細明體" w:hAnsi="新細明體" w:cs="新細明體" w:hint="eastAsia"/>
        <w:b w:val="0"/>
        <w:bCs w:val="0"/>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ascii="Calibri" w:eastAsia="新細明體" w:hAnsi="Calibri" w:cs="Calibri" w:hint="eastAsia"/>
        <w:b w:val="0"/>
        <w:bCs w:val="0"/>
        <w:i w:val="0"/>
        <w:iCs w:val="0"/>
        <w:smallCaps w:val="0"/>
        <w:strike w:val="0"/>
        <w:color w:val="000000"/>
        <w:spacing w:val="1"/>
        <w:w w:val="100"/>
        <w:position w:val="0"/>
        <w:sz w:val="22"/>
        <w:szCs w:val="22"/>
        <w:u w:val="none"/>
      </w:rPr>
    </w:lvl>
    <w:lvl w:ilvl="2">
      <w:start w:val="1"/>
      <w:numFmt w:val="decimal"/>
      <w:lvlText w:val="%3)"/>
      <w:lvlJc w:val="left"/>
      <w:pPr>
        <w:ind w:left="0" w:firstLine="0"/>
      </w:pPr>
      <w:rPr>
        <w:rFonts w:ascii="Calibri" w:eastAsia="新細明體" w:hAnsi="Calibri" w:cs="Calibri" w:hint="eastAsia"/>
        <w:b w:val="0"/>
        <w:bCs w:val="0"/>
        <w:i w:val="0"/>
        <w:iCs w:val="0"/>
        <w:smallCaps w:val="0"/>
        <w:strike w:val="0"/>
        <w:color w:val="000000"/>
        <w:spacing w:val="1"/>
        <w:w w:val="100"/>
        <w:position w:val="0"/>
        <w:sz w:val="22"/>
        <w:szCs w:val="22"/>
        <w:u w:val="none"/>
      </w:rPr>
    </w:lvl>
    <w:lvl w:ilvl="3">
      <w:start w:val="1"/>
      <w:numFmt w:val="decimal"/>
      <w:lvlText w:val="%4)"/>
      <w:lvlJc w:val="left"/>
      <w:pPr>
        <w:ind w:left="0" w:firstLine="0"/>
      </w:pPr>
      <w:rPr>
        <w:rFonts w:ascii="Calibri" w:eastAsia="新細明體" w:hAnsi="Calibri" w:cs="Calibri" w:hint="eastAsia"/>
        <w:b w:val="0"/>
        <w:bCs w:val="0"/>
        <w:i w:val="0"/>
        <w:iCs w:val="0"/>
        <w:smallCaps w:val="0"/>
        <w:strike w:val="0"/>
        <w:color w:val="000000"/>
        <w:spacing w:val="1"/>
        <w:w w:val="100"/>
        <w:position w:val="0"/>
        <w:sz w:val="22"/>
        <w:szCs w:val="22"/>
        <w:u w:val="none"/>
      </w:rPr>
    </w:lvl>
    <w:lvl w:ilvl="4">
      <w:start w:val="1"/>
      <w:numFmt w:val="decimal"/>
      <w:lvlText w:val="%5)"/>
      <w:lvlJc w:val="left"/>
      <w:pPr>
        <w:ind w:left="0" w:firstLine="0"/>
      </w:pPr>
      <w:rPr>
        <w:rFonts w:ascii="新細明體" w:eastAsia="新細明體" w:hAnsi="新細明體" w:cs="新細明體" w:hint="eastAsia"/>
        <w:b w:val="0"/>
        <w:bCs w:val="0"/>
        <w:i w:val="0"/>
        <w:iCs w:val="0"/>
        <w:smallCaps w:val="0"/>
        <w:strike w:val="0"/>
        <w:color w:val="000000"/>
        <w:spacing w:val="0"/>
        <w:w w:val="100"/>
        <w:position w:val="0"/>
        <w:sz w:val="21"/>
        <w:szCs w:val="21"/>
        <w:u w:val="none"/>
      </w:rPr>
    </w:lvl>
    <w:lvl w:ilvl="5">
      <w:start w:val="1"/>
      <w:numFmt w:val="decimal"/>
      <w:lvlText w:val="%3.%6."/>
      <w:lvlJc w:val="left"/>
      <w:pPr>
        <w:ind w:left="0" w:firstLine="0"/>
      </w:pPr>
      <w:rPr>
        <w:rFonts w:ascii="新細明體" w:eastAsia="新細明體" w:hAnsi="新細明體" w:cs="新細明體" w:hint="eastAsia"/>
        <w:b w:val="0"/>
        <w:bCs w:val="0"/>
        <w:i w:val="0"/>
        <w:iCs w:val="0"/>
        <w:smallCaps w:val="0"/>
        <w:strike w:val="0"/>
        <w:color w:val="000000"/>
        <w:spacing w:val="0"/>
        <w:w w:val="100"/>
        <w:position w:val="0"/>
        <w:sz w:val="21"/>
        <w:szCs w:val="21"/>
        <w:u w:val="none"/>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4">
    <w:nsid w:val="12A61AA9"/>
    <w:multiLevelType w:val="multilevel"/>
    <w:tmpl w:val="EA3C8106"/>
    <w:lvl w:ilvl="0">
      <w:start w:val="2"/>
      <w:numFmt w:val="decimal"/>
      <w:lvlText w:val="9.%1."/>
      <w:lvlJc w:val="left"/>
      <w:rPr>
        <w:rFonts w:ascii="新細明體" w:eastAsia="新細明體" w:hAnsi="新細明體" w:cs="新細明體"/>
        <w:b w:val="0"/>
        <w:bCs w:val="0"/>
        <w:i w:val="0"/>
        <w:iCs w:val="0"/>
        <w:smallCaps w:val="0"/>
        <w:strike w:val="0"/>
        <w:color w:val="000000"/>
        <w:spacing w:val="0"/>
        <w:w w:val="100"/>
        <w:position w:val="0"/>
        <w:sz w:val="21"/>
        <w:szCs w:val="21"/>
        <w:u w:val="none"/>
        <w:lang w:val="zh-TW"/>
      </w:rPr>
    </w:lvl>
    <w:lvl w:ilvl="1">
      <w:start w:val="1"/>
      <w:numFmt w:val="decimal"/>
      <w:lvlText w:val="%2)"/>
      <w:lvlJc w:val="left"/>
      <w:rPr>
        <w:rFonts w:ascii="新細明體" w:eastAsia="新細明體" w:hAnsi="新細明體" w:cs="新細明體"/>
        <w:b w:val="0"/>
        <w:bCs w:val="0"/>
        <w:i w:val="0"/>
        <w:iCs w:val="0"/>
        <w:smallCaps w:val="0"/>
        <w:strike w:val="0"/>
        <w:color w:val="000000"/>
        <w:spacing w:val="2"/>
        <w:w w:val="100"/>
        <w:position w:val="0"/>
        <w:sz w:val="21"/>
        <w:szCs w:val="21"/>
        <w:u w:val="none"/>
        <w:lang w:val="zh-TW"/>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069E7"/>
    <w:multiLevelType w:val="hybridMultilevel"/>
    <w:tmpl w:val="BEBA66BC"/>
    <w:lvl w:ilvl="0" w:tplc="265E6CA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818169D"/>
    <w:multiLevelType w:val="hybridMultilevel"/>
    <w:tmpl w:val="34643296"/>
    <w:lvl w:ilvl="0" w:tplc="8E86211A">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F9195C"/>
    <w:multiLevelType w:val="hybridMultilevel"/>
    <w:tmpl w:val="DFE28AE6"/>
    <w:lvl w:ilvl="0" w:tplc="A6EAF88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4C0BAE"/>
    <w:multiLevelType w:val="multilevel"/>
    <w:tmpl w:val="9FB8E234"/>
    <w:lvl w:ilvl="0">
      <w:start w:val="1"/>
      <w:numFmt w:val="decimal"/>
      <w:lvlText w:val="2.%1."/>
      <w:lvlJc w:val="left"/>
      <w:rPr>
        <w:rFonts w:ascii="新細明體" w:eastAsia="新細明體" w:hAnsi="新細明體" w:cs="新細明體"/>
        <w:b w:val="0"/>
        <w:bCs w:val="0"/>
        <w:i w:val="0"/>
        <w:iCs w:val="0"/>
        <w:smallCaps w:val="0"/>
        <w:strike w:val="0"/>
        <w:color w:val="000000"/>
        <w:spacing w:val="2"/>
        <w:w w:val="100"/>
        <w:position w:val="0"/>
        <w:sz w:val="21"/>
        <w:szCs w:val="21"/>
        <w:u w:val="none"/>
        <w:lang w:val="zh-TW"/>
      </w:rPr>
    </w:lvl>
    <w:lvl w:ilvl="1">
      <w:start w:val="1"/>
      <w:numFmt w:val="decimal"/>
      <w:lvlText w:val="%2)"/>
      <w:lvlJc w:val="left"/>
      <w:rPr>
        <w:rFonts w:ascii="新細明體" w:eastAsia="新細明體" w:hAnsi="新細明體" w:cs="新細明體"/>
        <w:b w:val="0"/>
        <w:bCs w:val="0"/>
        <w:i w:val="0"/>
        <w:iCs w:val="0"/>
        <w:smallCaps w:val="0"/>
        <w:strike w:val="0"/>
        <w:color w:val="000000"/>
        <w:spacing w:val="11"/>
        <w:w w:val="100"/>
        <w:position w:val="0"/>
        <w:sz w:val="22"/>
        <w:szCs w:val="22"/>
        <w:u w:val="none"/>
        <w:lang w:val="zh-TW"/>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7D731E"/>
    <w:multiLevelType w:val="hybridMultilevel"/>
    <w:tmpl w:val="B6FA0AA6"/>
    <w:lvl w:ilvl="0" w:tplc="0D8E5D5A">
      <w:start w:val="1"/>
      <w:numFmt w:val="decimal"/>
      <w:lvlText w:val="%1、"/>
      <w:lvlJc w:val="left"/>
      <w:pPr>
        <w:ind w:left="374" w:hanging="34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0">
    <w:nsid w:val="376C6CF0"/>
    <w:multiLevelType w:val="hybridMultilevel"/>
    <w:tmpl w:val="2E54CB26"/>
    <w:lvl w:ilvl="0" w:tplc="29EE03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3C0B2F0D"/>
    <w:multiLevelType w:val="multilevel"/>
    <w:tmpl w:val="9BDA89D4"/>
    <w:lvl w:ilvl="0">
      <w:start w:val="4"/>
      <w:numFmt w:val="decimal"/>
      <w:lvlText w:val="6.%1."/>
      <w:lvlJc w:val="left"/>
      <w:rPr>
        <w:rFonts w:ascii="新細明體" w:eastAsia="新細明體" w:hAnsi="新細明體" w:cs="新細明體"/>
        <w:b w:val="0"/>
        <w:bCs w:val="0"/>
        <w:i w:val="0"/>
        <w:iCs w:val="0"/>
        <w:smallCaps w:val="0"/>
        <w:strike w:val="0"/>
        <w:color w:val="000000"/>
        <w:spacing w:val="0"/>
        <w:w w:val="100"/>
        <w:position w:val="0"/>
        <w:sz w:val="21"/>
        <w:szCs w:val="21"/>
        <w:u w:val="none"/>
        <w:lang w:val="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FC1B80"/>
    <w:multiLevelType w:val="hybridMultilevel"/>
    <w:tmpl w:val="16F4F038"/>
    <w:lvl w:ilvl="0" w:tplc="B492F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5102FE9"/>
    <w:multiLevelType w:val="hybridMultilevel"/>
    <w:tmpl w:val="04CC402A"/>
    <w:lvl w:ilvl="0" w:tplc="E878C6B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1E7C13"/>
    <w:multiLevelType w:val="hybridMultilevel"/>
    <w:tmpl w:val="B4DE3B86"/>
    <w:lvl w:ilvl="0" w:tplc="5044C8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672EBB"/>
    <w:multiLevelType w:val="multilevel"/>
    <w:tmpl w:val="160E602A"/>
    <w:lvl w:ilvl="0">
      <w:start w:val="2"/>
      <w:numFmt w:val="decimal"/>
      <w:lvlText w:val="%1、"/>
      <w:lvlJc w:val="left"/>
      <w:pPr>
        <w:ind w:left="0" w:firstLine="0"/>
      </w:pPr>
      <w:rPr>
        <w:rFonts w:ascii="新細明體" w:eastAsia="新細明體" w:hAnsi="新細明體" w:cs="新細明體" w:hint="eastAsia"/>
        <w:b w:val="0"/>
        <w:bCs w:val="0"/>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ascii="Calibri" w:eastAsia="新細明體" w:hAnsi="Calibri" w:cs="Calibri" w:hint="eastAsia"/>
        <w:b w:val="0"/>
        <w:bCs w:val="0"/>
        <w:i w:val="0"/>
        <w:iCs w:val="0"/>
        <w:smallCaps w:val="0"/>
        <w:strike w:val="0"/>
        <w:color w:val="000000"/>
        <w:spacing w:val="1"/>
        <w:w w:val="100"/>
        <w:position w:val="0"/>
        <w:sz w:val="22"/>
        <w:szCs w:val="22"/>
        <w:u w:val="none"/>
      </w:rPr>
    </w:lvl>
    <w:lvl w:ilvl="2">
      <w:start w:val="1"/>
      <w:numFmt w:val="decimal"/>
      <w:lvlText w:val="%3、"/>
      <w:lvlJc w:val="left"/>
      <w:pPr>
        <w:ind w:left="0" w:firstLine="0"/>
      </w:pPr>
      <w:rPr>
        <w:rFonts w:ascii="新細明體" w:eastAsia="新細明體" w:hAnsi="新細明體" w:cs="新細明體" w:hint="eastAsia"/>
        <w:b w:val="0"/>
        <w:bCs w:val="0"/>
        <w:i w:val="0"/>
        <w:iCs w:val="0"/>
        <w:smallCaps w:val="0"/>
        <w:strike w:val="0"/>
        <w:color w:val="000000"/>
        <w:spacing w:val="1"/>
        <w:w w:val="100"/>
        <w:position w:val="0"/>
        <w:sz w:val="22"/>
        <w:szCs w:val="22"/>
        <w:u w:val="none"/>
      </w:rPr>
    </w:lvl>
    <w:lvl w:ilvl="3">
      <w:start w:val="1"/>
      <w:numFmt w:val="decimal"/>
      <w:lvlText w:val="%4)"/>
      <w:lvlJc w:val="left"/>
      <w:pPr>
        <w:ind w:left="0" w:firstLine="0"/>
      </w:pPr>
      <w:rPr>
        <w:rFonts w:ascii="Calibri" w:eastAsia="新細明體" w:hAnsi="Calibri" w:cs="Calibri" w:hint="eastAsia"/>
        <w:b w:val="0"/>
        <w:bCs w:val="0"/>
        <w:i w:val="0"/>
        <w:iCs w:val="0"/>
        <w:smallCaps w:val="0"/>
        <w:strike w:val="0"/>
        <w:color w:val="000000"/>
        <w:spacing w:val="1"/>
        <w:w w:val="100"/>
        <w:position w:val="0"/>
        <w:sz w:val="22"/>
        <w:szCs w:val="22"/>
        <w:u w:val="none"/>
      </w:rPr>
    </w:lvl>
    <w:lvl w:ilvl="4">
      <w:start w:val="1"/>
      <w:numFmt w:val="decimal"/>
      <w:lvlText w:val="%5、"/>
      <w:lvlJc w:val="left"/>
      <w:pPr>
        <w:ind w:left="0" w:firstLine="0"/>
      </w:pPr>
      <w:rPr>
        <w:rFonts w:ascii="新細明體" w:eastAsia="新細明體" w:hAnsi="新細明體" w:cs="新細明體" w:hint="eastAsia"/>
        <w:b w:val="0"/>
        <w:bCs w:val="0"/>
        <w:i w:val="0"/>
        <w:iCs w:val="0"/>
        <w:smallCaps w:val="0"/>
        <w:strike w:val="0"/>
        <w:color w:val="000000"/>
        <w:spacing w:val="0"/>
        <w:w w:val="100"/>
        <w:position w:val="0"/>
        <w:sz w:val="21"/>
        <w:szCs w:val="21"/>
        <w:u w:val="none"/>
      </w:rPr>
    </w:lvl>
    <w:lvl w:ilvl="5">
      <w:start w:val="1"/>
      <w:numFmt w:val="decimal"/>
      <w:lvlText w:val="%3.%6."/>
      <w:lvlJc w:val="left"/>
      <w:pPr>
        <w:ind w:left="0" w:firstLine="0"/>
      </w:pPr>
      <w:rPr>
        <w:rFonts w:ascii="新細明體" w:eastAsia="新細明體" w:hAnsi="新細明體" w:cs="新細明體" w:hint="eastAsia"/>
        <w:b w:val="0"/>
        <w:bCs w:val="0"/>
        <w:i w:val="0"/>
        <w:iCs w:val="0"/>
        <w:smallCaps w:val="0"/>
        <w:strike w:val="0"/>
        <w:color w:val="000000"/>
        <w:spacing w:val="0"/>
        <w:w w:val="100"/>
        <w:position w:val="0"/>
        <w:sz w:val="21"/>
        <w:szCs w:val="21"/>
        <w:u w:val="none"/>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6">
    <w:nsid w:val="4DF7427B"/>
    <w:multiLevelType w:val="hybridMultilevel"/>
    <w:tmpl w:val="7A14ED16"/>
    <w:lvl w:ilvl="0" w:tplc="2934F5D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410EA2"/>
    <w:multiLevelType w:val="hybridMultilevel"/>
    <w:tmpl w:val="2DBC031A"/>
    <w:lvl w:ilvl="0" w:tplc="FF5AD740">
      <w:start w:val="1"/>
      <w:numFmt w:val="decimal"/>
      <w:lvlText w:val="%1."/>
      <w:lvlJc w:val="left"/>
      <w:pPr>
        <w:ind w:left="360" w:hanging="360"/>
      </w:pPr>
      <w:rPr>
        <w:rFonts w:asciiTheme="minorHAnsi" w:hAnsiTheme="min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05627B"/>
    <w:multiLevelType w:val="hybridMultilevel"/>
    <w:tmpl w:val="8A7A0FA0"/>
    <w:lvl w:ilvl="0" w:tplc="B0702B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454626"/>
    <w:multiLevelType w:val="hybridMultilevel"/>
    <w:tmpl w:val="DA12A352"/>
    <w:lvl w:ilvl="0" w:tplc="E156665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0F02AF3"/>
    <w:multiLevelType w:val="multilevel"/>
    <w:tmpl w:val="B89E378E"/>
    <w:lvl w:ilvl="0">
      <w:start w:val="1"/>
      <w:numFmt w:val="decimal"/>
      <w:lvlText w:val="%1、"/>
      <w:lvlJc w:val="left"/>
      <w:rPr>
        <w:rFonts w:ascii="新細明體" w:eastAsia="新細明體" w:hAnsi="新細明體" w:cs="新細明體"/>
        <w:b w:val="0"/>
        <w:bCs w:val="0"/>
        <w:i w:val="0"/>
        <w:iCs w:val="0"/>
        <w:smallCaps w:val="0"/>
        <w:strike w:val="0"/>
        <w:color w:val="000000"/>
        <w:spacing w:val="0"/>
        <w:w w:val="100"/>
        <w:position w:val="0"/>
        <w:sz w:val="21"/>
        <w:szCs w:val="21"/>
        <w:u w:val="none"/>
        <w:lang w:val="zh-TW"/>
      </w:rPr>
    </w:lvl>
    <w:lvl w:ilvl="1">
      <w:start w:val="1"/>
      <w:numFmt w:val="decimal"/>
      <w:lvlText w:val="%2)"/>
      <w:lvlJc w:val="left"/>
      <w:rPr>
        <w:rFonts w:ascii="Calibri" w:eastAsia="Calibri" w:hAnsi="Calibri" w:cs="Calibri"/>
        <w:b w:val="0"/>
        <w:bCs w:val="0"/>
        <w:i w:val="0"/>
        <w:iCs w:val="0"/>
        <w:smallCaps w:val="0"/>
        <w:strike w:val="0"/>
        <w:color w:val="000000"/>
        <w:spacing w:val="1"/>
        <w:w w:val="100"/>
        <w:position w:val="0"/>
        <w:sz w:val="22"/>
        <w:szCs w:val="22"/>
        <w:u w:val="none"/>
        <w:lang w:val="zh-TW"/>
      </w:rPr>
    </w:lvl>
    <w:lvl w:ilvl="2">
      <w:start w:val="1"/>
      <w:numFmt w:val="decimal"/>
      <w:lvlText w:val="%3、"/>
      <w:lvlJc w:val="left"/>
      <w:rPr>
        <w:rFonts w:ascii="新細明體" w:eastAsia="新細明體" w:hAnsi="新細明體" w:cs="新細明體"/>
        <w:b w:val="0"/>
        <w:bCs w:val="0"/>
        <w:i w:val="0"/>
        <w:iCs w:val="0"/>
        <w:smallCaps w:val="0"/>
        <w:strike w:val="0"/>
        <w:color w:val="000000"/>
        <w:spacing w:val="1"/>
        <w:w w:val="100"/>
        <w:position w:val="0"/>
        <w:sz w:val="22"/>
        <w:szCs w:val="22"/>
        <w:u w:val="none"/>
        <w:lang w:val="zh-TW"/>
      </w:rPr>
    </w:lvl>
    <w:lvl w:ilvl="3">
      <w:start w:val="1"/>
      <w:numFmt w:val="decimal"/>
      <w:lvlText w:val="%4)"/>
      <w:lvlJc w:val="left"/>
      <w:rPr>
        <w:rFonts w:ascii="Calibri" w:eastAsia="Calibri" w:hAnsi="Calibri" w:cs="Calibri"/>
        <w:b w:val="0"/>
        <w:bCs w:val="0"/>
        <w:i w:val="0"/>
        <w:iCs w:val="0"/>
        <w:smallCaps w:val="0"/>
        <w:strike w:val="0"/>
        <w:color w:val="000000"/>
        <w:spacing w:val="1"/>
        <w:w w:val="100"/>
        <w:position w:val="0"/>
        <w:sz w:val="22"/>
        <w:szCs w:val="22"/>
        <w:u w:val="none"/>
        <w:lang w:val="zh-TW"/>
      </w:rPr>
    </w:lvl>
    <w:lvl w:ilvl="4">
      <w:start w:val="1"/>
      <w:numFmt w:val="decimal"/>
      <w:lvlText w:val="%5、"/>
      <w:lvlJc w:val="left"/>
      <w:rPr>
        <w:rFonts w:ascii="新細明體" w:eastAsia="新細明體" w:hAnsi="新細明體" w:cs="新細明體"/>
        <w:b w:val="0"/>
        <w:bCs w:val="0"/>
        <w:i w:val="0"/>
        <w:iCs w:val="0"/>
        <w:smallCaps w:val="0"/>
        <w:strike w:val="0"/>
        <w:color w:val="000000"/>
        <w:spacing w:val="0"/>
        <w:w w:val="100"/>
        <w:position w:val="0"/>
        <w:sz w:val="21"/>
        <w:szCs w:val="21"/>
        <w:u w:val="none"/>
        <w:lang w:val="zh-TW"/>
      </w:rPr>
    </w:lvl>
    <w:lvl w:ilvl="5">
      <w:start w:val="1"/>
      <w:numFmt w:val="decimal"/>
      <w:lvlText w:val="%3.%6."/>
      <w:lvlJc w:val="left"/>
      <w:rPr>
        <w:rFonts w:ascii="新細明體" w:eastAsia="新細明體" w:hAnsi="新細明體" w:cs="新細明體"/>
        <w:b w:val="0"/>
        <w:bCs w:val="0"/>
        <w:i w:val="0"/>
        <w:iCs w:val="0"/>
        <w:smallCaps w:val="0"/>
        <w:strike w:val="0"/>
        <w:color w:val="000000"/>
        <w:spacing w:val="0"/>
        <w:w w:val="100"/>
        <w:position w:val="0"/>
        <w:sz w:val="21"/>
        <w:szCs w:val="21"/>
        <w:u w:val="none"/>
        <w:lang w:val="zh-TW"/>
      </w:rPr>
    </w:lvl>
    <w:lvl w:ilvl="6">
      <w:numFmt w:val="decimal"/>
      <w:lvlText w:val=""/>
      <w:lvlJc w:val="left"/>
    </w:lvl>
    <w:lvl w:ilvl="7">
      <w:numFmt w:val="decimal"/>
      <w:lvlText w:val=""/>
      <w:lvlJc w:val="left"/>
    </w:lvl>
    <w:lvl w:ilvl="8">
      <w:numFmt w:val="decimal"/>
      <w:lvlText w:val=""/>
      <w:lvlJc w:val="left"/>
    </w:lvl>
  </w:abstractNum>
  <w:abstractNum w:abstractNumId="21">
    <w:nsid w:val="696803E8"/>
    <w:multiLevelType w:val="multilevel"/>
    <w:tmpl w:val="D53AB5B0"/>
    <w:lvl w:ilvl="0">
      <w:start w:val="1"/>
      <w:numFmt w:val="decimal"/>
      <w:lvlText w:val="%1、"/>
      <w:lvlJc w:val="left"/>
      <w:pPr>
        <w:ind w:left="0" w:firstLine="0"/>
      </w:pPr>
      <w:rPr>
        <w:rFonts w:ascii="新細明體" w:eastAsia="新細明體" w:hAnsi="新細明體" w:cs="新細明體" w:hint="eastAsia"/>
        <w:b w:val="0"/>
        <w:bCs w:val="0"/>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ascii="Calibri" w:eastAsia="新細明體" w:hAnsi="Calibri" w:cs="Calibri" w:hint="eastAsia"/>
        <w:b w:val="0"/>
        <w:bCs w:val="0"/>
        <w:i w:val="0"/>
        <w:iCs w:val="0"/>
        <w:smallCaps w:val="0"/>
        <w:strike w:val="0"/>
        <w:color w:val="000000"/>
        <w:spacing w:val="1"/>
        <w:w w:val="100"/>
        <w:position w:val="0"/>
        <w:sz w:val="22"/>
        <w:szCs w:val="22"/>
        <w:u w:val="none"/>
      </w:rPr>
    </w:lvl>
    <w:lvl w:ilvl="2">
      <w:start w:val="1"/>
      <w:numFmt w:val="decimal"/>
      <w:lvlText w:val="%3)"/>
      <w:lvlJc w:val="left"/>
      <w:pPr>
        <w:ind w:left="0" w:firstLine="0"/>
      </w:pPr>
      <w:rPr>
        <w:rFonts w:ascii="Calibri" w:eastAsia="新細明體" w:hAnsi="Calibri" w:cs="Calibri" w:hint="eastAsia"/>
        <w:b w:val="0"/>
        <w:bCs w:val="0"/>
        <w:i w:val="0"/>
        <w:iCs w:val="0"/>
        <w:smallCaps w:val="0"/>
        <w:strike w:val="0"/>
        <w:color w:val="000000"/>
        <w:spacing w:val="1"/>
        <w:w w:val="100"/>
        <w:position w:val="0"/>
        <w:sz w:val="22"/>
        <w:szCs w:val="22"/>
        <w:u w:val="none"/>
      </w:rPr>
    </w:lvl>
    <w:lvl w:ilvl="3">
      <w:start w:val="1"/>
      <w:numFmt w:val="decimal"/>
      <w:lvlText w:val="%4)"/>
      <w:lvlJc w:val="left"/>
      <w:pPr>
        <w:ind w:left="0" w:firstLine="0"/>
      </w:pPr>
      <w:rPr>
        <w:rFonts w:ascii="Calibri" w:eastAsia="新細明體" w:hAnsi="Calibri" w:cs="Calibri" w:hint="eastAsia"/>
        <w:b w:val="0"/>
        <w:bCs w:val="0"/>
        <w:i w:val="0"/>
        <w:iCs w:val="0"/>
        <w:smallCaps w:val="0"/>
        <w:strike w:val="0"/>
        <w:color w:val="000000"/>
        <w:spacing w:val="1"/>
        <w:w w:val="100"/>
        <w:position w:val="0"/>
        <w:sz w:val="22"/>
        <w:szCs w:val="22"/>
        <w:u w:val="none"/>
      </w:rPr>
    </w:lvl>
    <w:lvl w:ilvl="4">
      <w:start w:val="1"/>
      <w:numFmt w:val="decimal"/>
      <w:lvlText w:val="%5)"/>
      <w:lvlJc w:val="left"/>
      <w:pPr>
        <w:ind w:left="0" w:firstLine="0"/>
      </w:pPr>
      <w:rPr>
        <w:rFonts w:ascii="新細明體" w:eastAsia="新細明體" w:hAnsi="新細明體" w:cs="新細明體" w:hint="eastAsia"/>
        <w:b w:val="0"/>
        <w:bCs w:val="0"/>
        <w:i w:val="0"/>
        <w:iCs w:val="0"/>
        <w:smallCaps w:val="0"/>
        <w:strike w:val="0"/>
        <w:color w:val="000000"/>
        <w:spacing w:val="0"/>
        <w:w w:val="100"/>
        <w:position w:val="0"/>
        <w:sz w:val="21"/>
        <w:szCs w:val="21"/>
        <w:u w:val="none"/>
      </w:rPr>
    </w:lvl>
    <w:lvl w:ilvl="5">
      <w:start w:val="1"/>
      <w:numFmt w:val="decimal"/>
      <w:lvlText w:val="%3.%6."/>
      <w:lvlJc w:val="left"/>
      <w:pPr>
        <w:ind w:left="0" w:firstLine="0"/>
      </w:pPr>
      <w:rPr>
        <w:rFonts w:ascii="新細明體" w:eastAsia="新細明體" w:hAnsi="新細明體" w:cs="新細明體" w:hint="eastAsia"/>
        <w:b w:val="0"/>
        <w:bCs w:val="0"/>
        <w:i w:val="0"/>
        <w:iCs w:val="0"/>
        <w:smallCaps w:val="0"/>
        <w:strike w:val="0"/>
        <w:color w:val="000000"/>
        <w:spacing w:val="0"/>
        <w:w w:val="100"/>
        <w:position w:val="0"/>
        <w:sz w:val="21"/>
        <w:szCs w:val="21"/>
        <w:u w:val="none"/>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2">
    <w:nsid w:val="6ED3631B"/>
    <w:multiLevelType w:val="hybridMultilevel"/>
    <w:tmpl w:val="0FEAD8DE"/>
    <w:lvl w:ilvl="0" w:tplc="7BA4D80E">
      <w:start w:val="1"/>
      <w:numFmt w:val="decimal"/>
      <w:lvlText w:val="%1."/>
      <w:lvlJc w:val="left"/>
      <w:pPr>
        <w:ind w:left="360" w:hanging="360"/>
      </w:pPr>
      <w:rPr>
        <w:rFonts w:ascii="新細明體" w:eastAsia="新細明體" w:hAnsi="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9F26C2"/>
    <w:multiLevelType w:val="multilevel"/>
    <w:tmpl w:val="3A5E7C1E"/>
    <w:lvl w:ilvl="0">
      <w:start w:val="1"/>
      <w:numFmt w:val="decimal"/>
      <w:lvlText w:val="%1、"/>
      <w:lvlJc w:val="left"/>
      <w:pPr>
        <w:ind w:left="0" w:firstLine="0"/>
      </w:pPr>
      <w:rPr>
        <w:rFonts w:ascii="新細明體" w:eastAsia="新細明體" w:hAnsi="新細明體" w:cs="新細明體" w:hint="eastAsia"/>
        <w:b w:val="0"/>
        <w:bCs w:val="0"/>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ascii="Calibri" w:eastAsia="新細明體" w:hAnsi="Calibri" w:cs="Calibri" w:hint="eastAsia"/>
        <w:b w:val="0"/>
        <w:bCs w:val="0"/>
        <w:i w:val="0"/>
        <w:iCs w:val="0"/>
        <w:smallCaps w:val="0"/>
        <w:strike w:val="0"/>
        <w:color w:val="000000"/>
        <w:spacing w:val="1"/>
        <w:w w:val="100"/>
        <w:position w:val="0"/>
        <w:sz w:val="22"/>
        <w:szCs w:val="22"/>
        <w:u w:val="none"/>
      </w:rPr>
    </w:lvl>
    <w:lvl w:ilvl="2">
      <w:start w:val="1"/>
      <w:numFmt w:val="decimal"/>
      <w:lvlText w:val="%3)"/>
      <w:lvlJc w:val="left"/>
      <w:pPr>
        <w:ind w:left="0" w:firstLine="0"/>
      </w:pPr>
      <w:rPr>
        <w:rFonts w:ascii="Calibri" w:eastAsia="新細明體" w:hAnsi="Calibri" w:cs="Calibri" w:hint="eastAsia"/>
        <w:b w:val="0"/>
        <w:bCs w:val="0"/>
        <w:i w:val="0"/>
        <w:iCs w:val="0"/>
        <w:smallCaps w:val="0"/>
        <w:strike w:val="0"/>
        <w:color w:val="000000"/>
        <w:spacing w:val="1"/>
        <w:w w:val="100"/>
        <w:position w:val="0"/>
        <w:sz w:val="22"/>
        <w:szCs w:val="22"/>
        <w:u w:val="none"/>
      </w:rPr>
    </w:lvl>
    <w:lvl w:ilvl="3">
      <w:start w:val="1"/>
      <w:numFmt w:val="decimal"/>
      <w:lvlText w:val="%4)"/>
      <w:lvlJc w:val="left"/>
      <w:pPr>
        <w:ind w:left="0" w:firstLine="0"/>
      </w:pPr>
      <w:rPr>
        <w:rFonts w:ascii="Calibri" w:eastAsia="新細明體" w:hAnsi="Calibri" w:cs="Calibri" w:hint="eastAsia"/>
        <w:b w:val="0"/>
        <w:bCs w:val="0"/>
        <w:i w:val="0"/>
        <w:iCs w:val="0"/>
        <w:smallCaps w:val="0"/>
        <w:strike w:val="0"/>
        <w:color w:val="000000"/>
        <w:spacing w:val="1"/>
        <w:w w:val="100"/>
        <w:position w:val="0"/>
        <w:sz w:val="22"/>
        <w:szCs w:val="22"/>
        <w:u w:val="none"/>
      </w:rPr>
    </w:lvl>
    <w:lvl w:ilvl="4">
      <w:start w:val="1"/>
      <w:numFmt w:val="decimal"/>
      <w:lvlText w:val="%5)"/>
      <w:lvlJc w:val="left"/>
      <w:pPr>
        <w:ind w:left="0" w:firstLine="0"/>
      </w:pPr>
      <w:rPr>
        <w:rFonts w:ascii="新細明體" w:eastAsia="新細明體" w:hAnsi="新細明體" w:cs="新細明體" w:hint="eastAsia"/>
        <w:b w:val="0"/>
        <w:bCs w:val="0"/>
        <w:i w:val="0"/>
        <w:iCs w:val="0"/>
        <w:smallCaps w:val="0"/>
        <w:strike w:val="0"/>
        <w:color w:val="000000"/>
        <w:spacing w:val="0"/>
        <w:w w:val="100"/>
        <w:position w:val="0"/>
        <w:sz w:val="21"/>
        <w:szCs w:val="21"/>
        <w:u w:val="none"/>
      </w:rPr>
    </w:lvl>
    <w:lvl w:ilvl="5">
      <w:start w:val="1"/>
      <w:numFmt w:val="decimal"/>
      <w:lvlText w:val="%3.%6."/>
      <w:lvlJc w:val="left"/>
      <w:pPr>
        <w:ind w:left="0" w:firstLine="0"/>
      </w:pPr>
      <w:rPr>
        <w:rFonts w:ascii="新細明體" w:eastAsia="新細明體" w:hAnsi="新細明體" w:cs="新細明體" w:hint="eastAsia"/>
        <w:b w:val="0"/>
        <w:bCs w:val="0"/>
        <w:i w:val="0"/>
        <w:iCs w:val="0"/>
        <w:smallCaps w:val="0"/>
        <w:strike w:val="0"/>
        <w:color w:val="000000"/>
        <w:spacing w:val="0"/>
        <w:w w:val="100"/>
        <w:position w:val="0"/>
        <w:sz w:val="21"/>
        <w:szCs w:val="21"/>
        <w:u w:val="none"/>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4">
    <w:nsid w:val="75B27BBC"/>
    <w:multiLevelType w:val="hybridMultilevel"/>
    <w:tmpl w:val="8D849B7C"/>
    <w:lvl w:ilvl="0" w:tplc="B07E4168">
      <w:start w:val="1"/>
      <w:numFmt w:val="decimal"/>
      <w:lvlText w:val="%1."/>
      <w:lvlJc w:val="left"/>
      <w:pPr>
        <w:ind w:left="360" w:hanging="360"/>
      </w:pPr>
      <w:rPr>
        <w:rFonts w:asciiTheme="minorHAnsi" w:eastAsiaTheme="minorEastAsia" w:hAnsiTheme="min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20"/>
  </w:num>
  <w:num w:numId="4">
    <w:abstractNumId w:val="3"/>
  </w:num>
  <w:num w:numId="5">
    <w:abstractNumId w:val="23"/>
  </w:num>
  <w:num w:numId="6">
    <w:abstractNumId w:val="21"/>
  </w:num>
  <w:num w:numId="7">
    <w:abstractNumId w:val="11"/>
  </w:num>
  <w:num w:numId="8">
    <w:abstractNumId w:val="4"/>
  </w:num>
  <w:num w:numId="9">
    <w:abstractNumId w:val="8"/>
  </w:num>
  <w:num w:numId="10">
    <w:abstractNumId w:val="15"/>
  </w:num>
  <w:num w:numId="11">
    <w:abstractNumId w:val="6"/>
  </w:num>
  <w:num w:numId="12">
    <w:abstractNumId w:val="24"/>
  </w:num>
  <w:num w:numId="13">
    <w:abstractNumId w:val="19"/>
  </w:num>
  <w:num w:numId="14">
    <w:abstractNumId w:val="18"/>
  </w:num>
  <w:num w:numId="15">
    <w:abstractNumId w:val="12"/>
  </w:num>
  <w:num w:numId="16">
    <w:abstractNumId w:val="0"/>
  </w:num>
  <w:num w:numId="17">
    <w:abstractNumId w:val="17"/>
  </w:num>
  <w:num w:numId="18">
    <w:abstractNumId w:val="7"/>
  </w:num>
  <w:num w:numId="19">
    <w:abstractNumId w:val="14"/>
  </w:num>
  <w:num w:numId="20">
    <w:abstractNumId w:val="1"/>
  </w:num>
  <w:num w:numId="21">
    <w:abstractNumId w:val="13"/>
  </w:num>
  <w:num w:numId="22">
    <w:abstractNumId w:val="2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4708"/>
    <w:rsid w:val="00011A67"/>
    <w:rsid w:val="00022C55"/>
    <w:rsid w:val="000267FD"/>
    <w:rsid w:val="000337EB"/>
    <w:rsid w:val="00045A56"/>
    <w:rsid w:val="000518E1"/>
    <w:rsid w:val="000530BD"/>
    <w:rsid w:val="000700F7"/>
    <w:rsid w:val="0007534F"/>
    <w:rsid w:val="00082DAF"/>
    <w:rsid w:val="000A7715"/>
    <w:rsid w:val="000B742B"/>
    <w:rsid w:val="000D269E"/>
    <w:rsid w:val="000D57B4"/>
    <w:rsid w:val="000E4E51"/>
    <w:rsid w:val="001457D1"/>
    <w:rsid w:val="001461F0"/>
    <w:rsid w:val="00154C11"/>
    <w:rsid w:val="00161F6C"/>
    <w:rsid w:val="001875C8"/>
    <w:rsid w:val="00196C23"/>
    <w:rsid w:val="00197809"/>
    <w:rsid w:val="001A1F8A"/>
    <w:rsid w:val="001D3E7B"/>
    <w:rsid w:val="001D55E9"/>
    <w:rsid w:val="001F204D"/>
    <w:rsid w:val="00211159"/>
    <w:rsid w:val="00247E36"/>
    <w:rsid w:val="00265709"/>
    <w:rsid w:val="002676AE"/>
    <w:rsid w:val="00273268"/>
    <w:rsid w:val="002A2CB9"/>
    <w:rsid w:val="002C17C6"/>
    <w:rsid w:val="002E439E"/>
    <w:rsid w:val="00300E1C"/>
    <w:rsid w:val="00303BE6"/>
    <w:rsid w:val="00321AB5"/>
    <w:rsid w:val="00324748"/>
    <w:rsid w:val="00350139"/>
    <w:rsid w:val="003571FE"/>
    <w:rsid w:val="00373136"/>
    <w:rsid w:val="00374060"/>
    <w:rsid w:val="00397583"/>
    <w:rsid w:val="003A0D25"/>
    <w:rsid w:val="003A1722"/>
    <w:rsid w:val="003A44FB"/>
    <w:rsid w:val="003C634C"/>
    <w:rsid w:val="003C7991"/>
    <w:rsid w:val="003D1E3F"/>
    <w:rsid w:val="004034CF"/>
    <w:rsid w:val="0040356E"/>
    <w:rsid w:val="00422981"/>
    <w:rsid w:val="00456EA0"/>
    <w:rsid w:val="00464A6C"/>
    <w:rsid w:val="004943C5"/>
    <w:rsid w:val="00495079"/>
    <w:rsid w:val="004C0A31"/>
    <w:rsid w:val="004C49DB"/>
    <w:rsid w:val="004F2C37"/>
    <w:rsid w:val="004F2CFF"/>
    <w:rsid w:val="004F718D"/>
    <w:rsid w:val="00500924"/>
    <w:rsid w:val="00512162"/>
    <w:rsid w:val="00513DE4"/>
    <w:rsid w:val="005204E6"/>
    <w:rsid w:val="0053323A"/>
    <w:rsid w:val="00534148"/>
    <w:rsid w:val="005448E0"/>
    <w:rsid w:val="00571D09"/>
    <w:rsid w:val="00577730"/>
    <w:rsid w:val="00586D8E"/>
    <w:rsid w:val="005A4713"/>
    <w:rsid w:val="005A6187"/>
    <w:rsid w:val="005B4B5C"/>
    <w:rsid w:val="005C3031"/>
    <w:rsid w:val="005D309C"/>
    <w:rsid w:val="005D4864"/>
    <w:rsid w:val="005F5520"/>
    <w:rsid w:val="00601486"/>
    <w:rsid w:val="00614324"/>
    <w:rsid w:val="00617256"/>
    <w:rsid w:val="0062034D"/>
    <w:rsid w:val="00636266"/>
    <w:rsid w:val="006B5426"/>
    <w:rsid w:val="006B6CF8"/>
    <w:rsid w:val="006E0BCC"/>
    <w:rsid w:val="006F34D4"/>
    <w:rsid w:val="0071354A"/>
    <w:rsid w:val="007145D1"/>
    <w:rsid w:val="00716B2C"/>
    <w:rsid w:val="00733040"/>
    <w:rsid w:val="007349DD"/>
    <w:rsid w:val="00740259"/>
    <w:rsid w:val="007416A6"/>
    <w:rsid w:val="00754574"/>
    <w:rsid w:val="00755131"/>
    <w:rsid w:val="00795733"/>
    <w:rsid w:val="007C0D98"/>
    <w:rsid w:val="007C3A40"/>
    <w:rsid w:val="007F7EEA"/>
    <w:rsid w:val="00813043"/>
    <w:rsid w:val="0083158A"/>
    <w:rsid w:val="008332EF"/>
    <w:rsid w:val="008630BD"/>
    <w:rsid w:val="0089383D"/>
    <w:rsid w:val="008B0E54"/>
    <w:rsid w:val="008B6468"/>
    <w:rsid w:val="008E09BD"/>
    <w:rsid w:val="008F1D97"/>
    <w:rsid w:val="0090413E"/>
    <w:rsid w:val="00923805"/>
    <w:rsid w:val="00926AC2"/>
    <w:rsid w:val="009575EF"/>
    <w:rsid w:val="009779CB"/>
    <w:rsid w:val="009902B7"/>
    <w:rsid w:val="00A50785"/>
    <w:rsid w:val="00A53C3C"/>
    <w:rsid w:val="00A57139"/>
    <w:rsid w:val="00A578B5"/>
    <w:rsid w:val="00A709E3"/>
    <w:rsid w:val="00A81308"/>
    <w:rsid w:val="00AF08C0"/>
    <w:rsid w:val="00B21EF7"/>
    <w:rsid w:val="00B273E0"/>
    <w:rsid w:val="00B46A8D"/>
    <w:rsid w:val="00B60162"/>
    <w:rsid w:val="00B6172E"/>
    <w:rsid w:val="00BA6E6C"/>
    <w:rsid w:val="00BC3479"/>
    <w:rsid w:val="00BC4A2E"/>
    <w:rsid w:val="00BD1C9F"/>
    <w:rsid w:val="00BE2A9C"/>
    <w:rsid w:val="00BE5157"/>
    <w:rsid w:val="00C15BC2"/>
    <w:rsid w:val="00C21BC4"/>
    <w:rsid w:val="00C220DE"/>
    <w:rsid w:val="00C255EE"/>
    <w:rsid w:val="00C26DFB"/>
    <w:rsid w:val="00C351B0"/>
    <w:rsid w:val="00C36EB0"/>
    <w:rsid w:val="00C40A8A"/>
    <w:rsid w:val="00C46463"/>
    <w:rsid w:val="00C53C3E"/>
    <w:rsid w:val="00C54FED"/>
    <w:rsid w:val="00C55B1D"/>
    <w:rsid w:val="00C64708"/>
    <w:rsid w:val="00C924ED"/>
    <w:rsid w:val="00C9528E"/>
    <w:rsid w:val="00CA7012"/>
    <w:rsid w:val="00CB2A70"/>
    <w:rsid w:val="00CC07C6"/>
    <w:rsid w:val="00CC0EAE"/>
    <w:rsid w:val="00CC363D"/>
    <w:rsid w:val="00CC4462"/>
    <w:rsid w:val="00CD1E6D"/>
    <w:rsid w:val="00D116C9"/>
    <w:rsid w:val="00D24460"/>
    <w:rsid w:val="00D302CF"/>
    <w:rsid w:val="00D32F09"/>
    <w:rsid w:val="00D34C4E"/>
    <w:rsid w:val="00D51D59"/>
    <w:rsid w:val="00D52B9B"/>
    <w:rsid w:val="00D5506D"/>
    <w:rsid w:val="00D95F01"/>
    <w:rsid w:val="00E06AC0"/>
    <w:rsid w:val="00E3737B"/>
    <w:rsid w:val="00E456D6"/>
    <w:rsid w:val="00E63F41"/>
    <w:rsid w:val="00E80314"/>
    <w:rsid w:val="00E833E9"/>
    <w:rsid w:val="00E875C6"/>
    <w:rsid w:val="00EC03F2"/>
    <w:rsid w:val="00ED2E6D"/>
    <w:rsid w:val="00ED30EA"/>
    <w:rsid w:val="00EF3A63"/>
    <w:rsid w:val="00EF52FB"/>
    <w:rsid w:val="00F02F11"/>
    <w:rsid w:val="00F42387"/>
    <w:rsid w:val="00F4729D"/>
    <w:rsid w:val="00F520DC"/>
    <w:rsid w:val="00F5790F"/>
    <w:rsid w:val="00F75F51"/>
    <w:rsid w:val="00F868AB"/>
    <w:rsid w:val="00F96019"/>
    <w:rsid w:val="00FA55B6"/>
    <w:rsid w:val="00FB2A43"/>
    <w:rsid w:val="00FE10B9"/>
    <w:rsid w:val="00FE2F1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3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64708"/>
    <w:pPr>
      <w:ind w:leftChars="200" w:left="480"/>
    </w:pPr>
  </w:style>
  <w:style w:type="paragraph" w:styleId="a5">
    <w:name w:val="header"/>
    <w:basedOn w:val="a"/>
    <w:link w:val="a6"/>
    <w:uiPriority w:val="99"/>
    <w:unhideWhenUsed/>
    <w:rsid w:val="00534148"/>
    <w:pPr>
      <w:tabs>
        <w:tab w:val="center" w:pos="4153"/>
        <w:tab w:val="right" w:pos="8306"/>
      </w:tabs>
      <w:snapToGrid w:val="0"/>
    </w:pPr>
    <w:rPr>
      <w:sz w:val="20"/>
      <w:szCs w:val="20"/>
    </w:rPr>
  </w:style>
  <w:style w:type="character" w:customStyle="1" w:styleId="a6">
    <w:name w:val="頁首 字元"/>
    <w:basedOn w:val="a0"/>
    <w:link w:val="a5"/>
    <w:uiPriority w:val="99"/>
    <w:rsid w:val="00534148"/>
    <w:rPr>
      <w:sz w:val="20"/>
      <w:szCs w:val="20"/>
    </w:rPr>
  </w:style>
  <w:style w:type="paragraph" w:styleId="a7">
    <w:name w:val="footer"/>
    <w:basedOn w:val="a"/>
    <w:link w:val="a8"/>
    <w:uiPriority w:val="99"/>
    <w:unhideWhenUsed/>
    <w:rsid w:val="00534148"/>
    <w:pPr>
      <w:tabs>
        <w:tab w:val="center" w:pos="4153"/>
        <w:tab w:val="right" w:pos="8306"/>
      </w:tabs>
      <w:snapToGrid w:val="0"/>
    </w:pPr>
    <w:rPr>
      <w:sz w:val="20"/>
      <w:szCs w:val="20"/>
    </w:rPr>
  </w:style>
  <w:style w:type="character" w:customStyle="1" w:styleId="a8">
    <w:name w:val="頁尾 字元"/>
    <w:basedOn w:val="a0"/>
    <w:link w:val="a7"/>
    <w:uiPriority w:val="99"/>
    <w:rsid w:val="00534148"/>
    <w:rPr>
      <w:sz w:val="20"/>
      <w:szCs w:val="20"/>
    </w:rPr>
  </w:style>
  <w:style w:type="character" w:customStyle="1" w:styleId="a9">
    <w:name w:val="正文文本_"/>
    <w:basedOn w:val="a0"/>
    <w:link w:val="aa"/>
    <w:rsid w:val="00FA55B6"/>
    <w:rPr>
      <w:rFonts w:ascii="新細明體" w:eastAsia="新細明體" w:hAnsi="新細明體" w:cs="新細明體"/>
      <w:sz w:val="23"/>
      <w:szCs w:val="23"/>
      <w:shd w:val="clear" w:color="auto" w:fill="FFFFFF"/>
    </w:rPr>
  </w:style>
  <w:style w:type="paragraph" w:customStyle="1" w:styleId="aa">
    <w:name w:val="正文文本"/>
    <w:basedOn w:val="a"/>
    <w:link w:val="a9"/>
    <w:rsid w:val="00FA55B6"/>
    <w:pPr>
      <w:shd w:val="clear" w:color="auto" w:fill="FFFFFF"/>
      <w:spacing w:line="451" w:lineRule="exact"/>
      <w:ind w:hanging="720"/>
      <w:jc w:val="distribute"/>
    </w:pPr>
    <w:rPr>
      <w:rFonts w:ascii="新細明體" w:eastAsia="新細明體" w:hAnsi="新細明體" w:cs="新細明體"/>
      <w:sz w:val="23"/>
      <w:szCs w:val="23"/>
    </w:rPr>
  </w:style>
  <w:style w:type="character" w:customStyle="1" w:styleId="5">
    <w:name w:val="正文文本 (5)_"/>
    <w:basedOn w:val="a0"/>
    <w:rsid w:val="00512162"/>
    <w:rPr>
      <w:rFonts w:ascii="新細明體" w:eastAsia="新細明體" w:hAnsi="新細明體" w:cs="新細明體"/>
      <w:b w:val="0"/>
      <w:bCs w:val="0"/>
      <w:i w:val="0"/>
      <w:iCs w:val="0"/>
      <w:smallCaps w:val="0"/>
      <w:strike w:val="0"/>
      <w:sz w:val="20"/>
      <w:szCs w:val="20"/>
      <w:u w:val="none"/>
    </w:rPr>
  </w:style>
  <w:style w:type="character" w:customStyle="1" w:styleId="50">
    <w:name w:val="正文文本 (5)"/>
    <w:basedOn w:val="5"/>
    <w:rsid w:val="00512162"/>
    <w:rPr>
      <w:rFonts w:ascii="新細明體" w:eastAsia="新細明體" w:hAnsi="新細明體" w:cs="新細明體"/>
      <w:b w:val="0"/>
      <w:bCs w:val="0"/>
      <w:i w:val="0"/>
      <w:iCs w:val="0"/>
      <w:smallCaps w:val="0"/>
      <w:strike w:val="0"/>
      <w:color w:val="000000"/>
      <w:spacing w:val="0"/>
      <w:w w:val="100"/>
      <w:position w:val="0"/>
      <w:sz w:val="20"/>
      <w:szCs w:val="20"/>
      <w:u w:val="single"/>
      <w:lang w:val="zh-TW"/>
    </w:rPr>
  </w:style>
  <w:style w:type="paragraph" w:styleId="ab">
    <w:name w:val="Balloon Text"/>
    <w:basedOn w:val="a"/>
    <w:link w:val="ac"/>
    <w:uiPriority w:val="99"/>
    <w:semiHidden/>
    <w:unhideWhenUsed/>
    <w:rsid w:val="00BD1C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D1C9F"/>
    <w:rPr>
      <w:rFonts w:asciiTheme="majorHAnsi" w:eastAsiaTheme="majorEastAsia" w:hAnsiTheme="majorHAnsi" w:cstheme="majorBidi"/>
      <w:sz w:val="18"/>
      <w:szCs w:val="18"/>
    </w:rPr>
  </w:style>
  <w:style w:type="paragraph" w:customStyle="1" w:styleId="Default">
    <w:name w:val="Default"/>
    <w:rsid w:val="003A44FB"/>
    <w:pPr>
      <w:widowControl w:val="0"/>
      <w:autoSpaceDE w:val="0"/>
      <w:autoSpaceDN w:val="0"/>
      <w:adjustRightInd w:val="0"/>
    </w:pPr>
    <w:rPr>
      <w:rFonts w:ascii="標楷體a...." w:eastAsia="標楷體a...." w:cs="標楷體a...."/>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4708"/>
    <w:pPr>
      <w:ind w:leftChars="200" w:left="480"/>
    </w:pPr>
  </w:style>
  <w:style w:type="paragraph" w:styleId="a5">
    <w:name w:val="header"/>
    <w:basedOn w:val="a"/>
    <w:link w:val="a6"/>
    <w:uiPriority w:val="99"/>
    <w:unhideWhenUsed/>
    <w:rsid w:val="00534148"/>
    <w:pPr>
      <w:tabs>
        <w:tab w:val="center" w:pos="4153"/>
        <w:tab w:val="right" w:pos="8306"/>
      </w:tabs>
      <w:snapToGrid w:val="0"/>
    </w:pPr>
    <w:rPr>
      <w:sz w:val="20"/>
      <w:szCs w:val="20"/>
    </w:rPr>
  </w:style>
  <w:style w:type="character" w:customStyle="1" w:styleId="a6">
    <w:name w:val="頁首 字元"/>
    <w:basedOn w:val="a0"/>
    <w:link w:val="a5"/>
    <w:uiPriority w:val="99"/>
    <w:rsid w:val="00534148"/>
    <w:rPr>
      <w:sz w:val="20"/>
      <w:szCs w:val="20"/>
    </w:rPr>
  </w:style>
  <w:style w:type="paragraph" w:styleId="a7">
    <w:name w:val="footer"/>
    <w:basedOn w:val="a"/>
    <w:link w:val="a8"/>
    <w:uiPriority w:val="99"/>
    <w:unhideWhenUsed/>
    <w:rsid w:val="00534148"/>
    <w:pPr>
      <w:tabs>
        <w:tab w:val="center" w:pos="4153"/>
        <w:tab w:val="right" w:pos="8306"/>
      </w:tabs>
      <w:snapToGrid w:val="0"/>
    </w:pPr>
    <w:rPr>
      <w:sz w:val="20"/>
      <w:szCs w:val="20"/>
    </w:rPr>
  </w:style>
  <w:style w:type="character" w:customStyle="1" w:styleId="a8">
    <w:name w:val="頁尾 字元"/>
    <w:basedOn w:val="a0"/>
    <w:link w:val="a7"/>
    <w:uiPriority w:val="99"/>
    <w:rsid w:val="00534148"/>
    <w:rPr>
      <w:sz w:val="20"/>
      <w:szCs w:val="20"/>
    </w:rPr>
  </w:style>
  <w:style w:type="character" w:customStyle="1" w:styleId="a9">
    <w:name w:val="正文文本_"/>
    <w:basedOn w:val="a0"/>
    <w:link w:val="aa"/>
    <w:rsid w:val="00FA55B6"/>
    <w:rPr>
      <w:rFonts w:ascii="新細明體" w:eastAsia="新細明體" w:hAnsi="新細明體" w:cs="新細明體"/>
      <w:sz w:val="23"/>
      <w:szCs w:val="23"/>
      <w:shd w:val="clear" w:color="auto" w:fill="FFFFFF"/>
    </w:rPr>
  </w:style>
  <w:style w:type="paragraph" w:customStyle="1" w:styleId="aa">
    <w:name w:val="正文文本"/>
    <w:basedOn w:val="a"/>
    <w:link w:val="a9"/>
    <w:rsid w:val="00FA55B6"/>
    <w:pPr>
      <w:shd w:val="clear" w:color="auto" w:fill="FFFFFF"/>
      <w:spacing w:line="451" w:lineRule="exact"/>
      <w:ind w:hanging="720"/>
      <w:jc w:val="distribute"/>
    </w:pPr>
    <w:rPr>
      <w:rFonts w:ascii="新細明體" w:eastAsia="新細明體" w:hAnsi="新細明體" w:cs="新細明體"/>
      <w:sz w:val="23"/>
      <w:szCs w:val="23"/>
    </w:rPr>
  </w:style>
  <w:style w:type="character" w:customStyle="1" w:styleId="5">
    <w:name w:val="正文文本 (5)_"/>
    <w:basedOn w:val="a0"/>
    <w:rsid w:val="00512162"/>
    <w:rPr>
      <w:rFonts w:ascii="新細明體" w:eastAsia="新細明體" w:hAnsi="新細明體" w:cs="新細明體"/>
      <w:b w:val="0"/>
      <w:bCs w:val="0"/>
      <w:i w:val="0"/>
      <w:iCs w:val="0"/>
      <w:smallCaps w:val="0"/>
      <w:strike w:val="0"/>
      <w:sz w:val="20"/>
      <w:szCs w:val="20"/>
      <w:u w:val="none"/>
    </w:rPr>
  </w:style>
  <w:style w:type="character" w:customStyle="1" w:styleId="50">
    <w:name w:val="正文文本 (5)"/>
    <w:basedOn w:val="5"/>
    <w:rsid w:val="00512162"/>
    <w:rPr>
      <w:rFonts w:ascii="新細明體" w:eastAsia="新細明體" w:hAnsi="新細明體" w:cs="新細明體"/>
      <w:b w:val="0"/>
      <w:bCs w:val="0"/>
      <w:i w:val="0"/>
      <w:iCs w:val="0"/>
      <w:smallCaps w:val="0"/>
      <w:strike w:val="0"/>
      <w:color w:val="000000"/>
      <w:spacing w:val="0"/>
      <w:w w:val="100"/>
      <w:position w:val="0"/>
      <w:sz w:val="20"/>
      <w:szCs w:val="20"/>
      <w:u w:val="single"/>
      <w:lang w:val="zh-TW"/>
    </w:rPr>
  </w:style>
  <w:style w:type="paragraph" w:styleId="ab">
    <w:name w:val="Balloon Text"/>
    <w:basedOn w:val="a"/>
    <w:link w:val="ac"/>
    <w:uiPriority w:val="99"/>
    <w:semiHidden/>
    <w:unhideWhenUsed/>
    <w:rsid w:val="00BD1C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D1C9F"/>
    <w:rPr>
      <w:rFonts w:asciiTheme="majorHAnsi" w:eastAsiaTheme="majorEastAsia" w:hAnsiTheme="majorHAnsi" w:cstheme="majorBidi"/>
      <w:sz w:val="18"/>
      <w:szCs w:val="18"/>
    </w:rPr>
  </w:style>
  <w:style w:type="paragraph" w:customStyle="1" w:styleId="Default">
    <w:name w:val="Default"/>
    <w:rsid w:val="003A44FB"/>
    <w:pPr>
      <w:widowControl w:val="0"/>
      <w:autoSpaceDE w:val="0"/>
      <w:autoSpaceDN w:val="0"/>
      <w:adjustRightInd w:val="0"/>
    </w:pPr>
    <w:rPr>
      <w:rFonts w:ascii="標楷體a...." w:eastAsia="標楷體a...." w:cs="標楷體a...."/>
      <w:color w:val="000000"/>
      <w:kern w:val="0"/>
      <w:szCs w:val="24"/>
    </w:rPr>
  </w:style>
</w:styles>
</file>

<file path=word/webSettings.xml><?xml version="1.0" encoding="utf-8"?>
<w:webSettings xmlns:r="http://schemas.openxmlformats.org/officeDocument/2006/relationships" xmlns:w="http://schemas.openxmlformats.org/wordprocessingml/2006/main">
  <w:divs>
    <w:div w:id="113789385">
      <w:bodyDiv w:val="1"/>
      <w:marLeft w:val="0"/>
      <w:marRight w:val="0"/>
      <w:marTop w:val="0"/>
      <w:marBottom w:val="0"/>
      <w:divBdr>
        <w:top w:val="none" w:sz="0" w:space="0" w:color="auto"/>
        <w:left w:val="none" w:sz="0" w:space="0" w:color="auto"/>
        <w:bottom w:val="none" w:sz="0" w:space="0" w:color="auto"/>
        <w:right w:val="none" w:sz="0" w:space="0" w:color="auto"/>
      </w:divBdr>
    </w:div>
    <w:div w:id="1138960368">
      <w:bodyDiv w:val="1"/>
      <w:marLeft w:val="0"/>
      <w:marRight w:val="0"/>
      <w:marTop w:val="0"/>
      <w:marBottom w:val="0"/>
      <w:divBdr>
        <w:top w:val="none" w:sz="0" w:space="0" w:color="auto"/>
        <w:left w:val="none" w:sz="0" w:space="0" w:color="auto"/>
        <w:bottom w:val="none" w:sz="0" w:space="0" w:color="auto"/>
        <w:right w:val="none" w:sz="0" w:space="0" w:color="auto"/>
      </w:divBdr>
    </w:div>
    <w:div w:id="1424961079">
      <w:bodyDiv w:val="1"/>
      <w:marLeft w:val="0"/>
      <w:marRight w:val="0"/>
      <w:marTop w:val="0"/>
      <w:marBottom w:val="0"/>
      <w:divBdr>
        <w:top w:val="none" w:sz="0" w:space="0" w:color="auto"/>
        <w:left w:val="none" w:sz="0" w:space="0" w:color="auto"/>
        <w:bottom w:val="none" w:sz="0" w:space="0" w:color="auto"/>
        <w:right w:val="none" w:sz="0" w:space="0" w:color="auto"/>
      </w:divBdr>
    </w:div>
    <w:div w:id="1466971735">
      <w:bodyDiv w:val="1"/>
      <w:marLeft w:val="0"/>
      <w:marRight w:val="0"/>
      <w:marTop w:val="0"/>
      <w:marBottom w:val="0"/>
      <w:divBdr>
        <w:top w:val="none" w:sz="0" w:space="0" w:color="auto"/>
        <w:left w:val="none" w:sz="0" w:space="0" w:color="auto"/>
        <w:bottom w:val="none" w:sz="0" w:space="0" w:color="auto"/>
        <w:right w:val="none" w:sz="0" w:space="0" w:color="auto"/>
      </w:divBdr>
    </w:div>
    <w:div w:id="148789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7D50-DF47-4AAF-81F5-9C493F72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郭貞吟</dc:creator>
  <cp:lastModifiedBy>user</cp:lastModifiedBy>
  <cp:revision>2</cp:revision>
  <cp:lastPrinted>2014-12-09T01:58:00Z</cp:lastPrinted>
  <dcterms:created xsi:type="dcterms:W3CDTF">2015-01-22T08:49:00Z</dcterms:created>
  <dcterms:modified xsi:type="dcterms:W3CDTF">2015-01-22T08:49:00Z</dcterms:modified>
</cp:coreProperties>
</file>