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77"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8682"/>
      </w:tblGrid>
      <w:tr w:rsidR="007E4E35" w:rsidRPr="00617511" w:rsidTr="00E3049D">
        <w:trPr>
          <w:trHeight w:val="333"/>
          <w:jc w:val="center"/>
        </w:trPr>
        <w:tc>
          <w:tcPr>
            <w:tcW w:w="10477" w:type="dxa"/>
            <w:gridSpan w:val="2"/>
            <w:tcBorders>
              <w:top w:val="nil"/>
              <w:left w:val="nil"/>
              <w:bottom w:val="nil"/>
              <w:right w:val="nil"/>
            </w:tcBorders>
            <w:vAlign w:val="center"/>
          </w:tcPr>
          <w:p w:rsidR="00211E09" w:rsidRPr="00617511" w:rsidRDefault="00AE42B1" w:rsidP="00F5040F">
            <w:pPr>
              <w:pStyle w:val="1"/>
              <w:spacing w:before="0" w:beforeAutospacing="0" w:after="0" w:afterAutospacing="0" w:line="240" w:lineRule="atLeast"/>
              <w:jc w:val="center"/>
              <w:rPr>
                <w:rFonts w:ascii="Arial" w:eastAsia="標楷體" w:hAnsi="Arial" w:cs="Arial"/>
                <w:sz w:val="32"/>
                <w:szCs w:val="32"/>
              </w:rPr>
            </w:pPr>
            <w:r w:rsidRPr="00617511">
              <w:rPr>
                <w:rFonts w:ascii="Arial" w:eastAsia="標楷體" w:hAnsi="Arial" w:cs="Arial"/>
                <w:sz w:val="32"/>
                <w:szCs w:val="32"/>
              </w:rPr>
              <w:t>Human immune globulin</w:t>
            </w:r>
            <w:r w:rsidR="003B36A0" w:rsidRPr="00617511">
              <w:rPr>
                <w:rFonts w:ascii="Arial" w:eastAsia="標楷體" w:hAnsi="Arial" w:cs="Arial"/>
                <w:sz w:val="32"/>
                <w:szCs w:val="32"/>
              </w:rPr>
              <w:t>成分</w:t>
            </w:r>
            <w:r w:rsidR="00C1197C" w:rsidRPr="00617511">
              <w:rPr>
                <w:rFonts w:ascii="Arial" w:eastAsia="標楷體" w:hAnsi="Arial" w:cs="Arial"/>
                <w:sz w:val="32"/>
                <w:szCs w:val="32"/>
              </w:rPr>
              <w:t>藥品</w:t>
            </w:r>
            <w:r w:rsidR="00B32C39" w:rsidRPr="00617511">
              <w:rPr>
                <w:rFonts w:ascii="Arial" w:eastAsia="標楷體" w:hAnsi="Arial" w:cs="Arial"/>
                <w:sz w:val="32"/>
                <w:szCs w:val="32"/>
              </w:rPr>
              <w:t>安全資訊風險溝通表</w:t>
            </w:r>
          </w:p>
        </w:tc>
      </w:tr>
      <w:tr w:rsidR="007E4E35" w:rsidRPr="004D146A" w:rsidTr="00E3049D">
        <w:trPr>
          <w:trHeight w:val="333"/>
          <w:jc w:val="center"/>
        </w:trPr>
        <w:tc>
          <w:tcPr>
            <w:tcW w:w="10477" w:type="dxa"/>
            <w:gridSpan w:val="2"/>
            <w:tcBorders>
              <w:top w:val="nil"/>
              <w:left w:val="nil"/>
              <w:right w:val="nil"/>
            </w:tcBorders>
            <w:vAlign w:val="center"/>
          </w:tcPr>
          <w:p w:rsidR="00211E09" w:rsidRPr="004D146A" w:rsidRDefault="00211E09" w:rsidP="009A332B">
            <w:pPr>
              <w:pStyle w:val="1"/>
              <w:spacing w:before="0" w:beforeAutospacing="0" w:after="0" w:afterAutospacing="0" w:line="240" w:lineRule="atLeast"/>
              <w:jc w:val="right"/>
              <w:rPr>
                <w:rFonts w:ascii="Arial" w:eastAsia="標楷體" w:hAnsi="Arial" w:cs="Arial"/>
                <w:b w:val="0"/>
                <w:sz w:val="24"/>
                <w:szCs w:val="24"/>
              </w:rPr>
            </w:pPr>
          </w:p>
        </w:tc>
      </w:tr>
      <w:tr w:rsidR="007E4E35" w:rsidRPr="004D146A" w:rsidTr="00E3049D">
        <w:trPr>
          <w:trHeight w:val="333"/>
          <w:jc w:val="center"/>
        </w:trPr>
        <w:tc>
          <w:tcPr>
            <w:tcW w:w="1795" w:type="dxa"/>
            <w:vAlign w:val="center"/>
          </w:tcPr>
          <w:p w:rsidR="00211E09" w:rsidRPr="004D146A" w:rsidRDefault="00211E09" w:rsidP="009424B6">
            <w:pPr>
              <w:jc w:val="center"/>
              <w:rPr>
                <w:rFonts w:ascii="Arial" w:eastAsia="標楷體" w:hAnsi="Arial" w:cs="Arial"/>
                <w:szCs w:val="24"/>
              </w:rPr>
            </w:pPr>
            <w:r w:rsidRPr="004D146A">
              <w:rPr>
                <w:rFonts w:ascii="Arial" w:eastAsia="標楷體" w:hAnsi="Arial" w:cs="Arial"/>
                <w:szCs w:val="24"/>
              </w:rPr>
              <w:t>藥品成分</w:t>
            </w:r>
          </w:p>
        </w:tc>
        <w:tc>
          <w:tcPr>
            <w:tcW w:w="8682" w:type="dxa"/>
          </w:tcPr>
          <w:p w:rsidR="00B44929" w:rsidRPr="004D146A" w:rsidRDefault="00AE42B1" w:rsidP="00766DEB">
            <w:pPr>
              <w:pStyle w:val="1"/>
              <w:spacing w:before="0" w:beforeAutospacing="0" w:after="0" w:afterAutospacing="0" w:line="240" w:lineRule="atLeast"/>
              <w:rPr>
                <w:rFonts w:ascii="Arial" w:eastAsia="標楷體" w:hAnsi="Arial" w:cs="Arial"/>
                <w:b w:val="0"/>
                <w:sz w:val="24"/>
                <w:szCs w:val="24"/>
              </w:rPr>
            </w:pPr>
            <w:r w:rsidRPr="004D146A">
              <w:rPr>
                <w:rFonts w:ascii="Arial" w:eastAsia="標楷體" w:hAnsi="Arial" w:cs="Arial"/>
                <w:b w:val="0"/>
                <w:sz w:val="24"/>
                <w:szCs w:val="24"/>
              </w:rPr>
              <w:t>Human immune globulin</w:t>
            </w:r>
          </w:p>
        </w:tc>
      </w:tr>
      <w:tr w:rsidR="007E4E35" w:rsidRPr="004D146A" w:rsidTr="00E3049D">
        <w:trPr>
          <w:trHeight w:val="333"/>
          <w:jc w:val="center"/>
        </w:trPr>
        <w:tc>
          <w:tcPr>
            <w:tcW w:w="1795" w:type="dxa"/>
            <w:vAlign w:val="center"/>
          </w:tcPr>
          <w:p w:rsidR="00211E09" w:rsidRPr="004D146A" w:rsidRDefault="00211E09" w:rsidP="009424B6">
            <w:pPr>
              <w:jc w:val="center"/>
              <w:rPr>
                <w:rFonts w:ascii="Arial" w:eastAsia="標楷體" w:hAnsi="Arial" w:cs="Arial"/>
                <w:szCs w:val="24"/>
              </w:rPr>
            </w:pPr>
            <w:r w:rsidRPr="004D146A">
              <w:rPr>
                <w:rFonts w:ascii="Arial" w:eastAsia="標楷體" w:hAnsi="Arial" w:cs="Arial"/>
                <w:szCs w:val="24"/>
              </w:rPr>
              <w:t>藥品名稱</w:t>
            </w:r>
          </w:p>
          <w:p w:rsidR="00211E09" w:rsidRPr="004D146A" w:rsidRDefault="00211E09" w:rsidP="009424B6">
            <w:pPr>
              <w:jc w:val="center"/>
              <w:rPr>
                <w:rFonts w:ascii="Arial" w:eastAsia="標楷體" w:hAnsi="Arial" w:cs="Arial"/>
                <w:szCs w:val="24"/>
              </w:rPr>
            </w:pPr>
            <w:r w:rsidRPr="004D146A">
              <w:rPr>
                <w:rFonts w:ascii="Arial" w:eastAsia="標楷體" w:hAnsi="Arial" w:cs="Arial"/>
                <w:szCs w:val="24"/>
              </w:rPr>
              <w:t>及許可證字號</w:t>
            </w:r>
          </w:p>
        </w:tc>
        <w:tc>
          <w:tcPr>
            <w:tcW w:w="8682" w:type="dxa"/>
          </w:tcPr>
          <w:p w:rsidR="004F3EB2" w:rsidRDefault="006A71AD" w:rsidP="00664155">
            <w:pPr>
              <w:pStyle w:val="1"/>
              <w:spacing w:before="0" w:beforeAutospacing="0" w:after="0" w:afterAutospacing="0" w:line="240" w:lineRule="atLeast"/>
              <w:rPr>
                <w:rFonts w:ascii="Arial" w:eastAsia="標楷體" w:hAnsi="Arial" w:cs="Arial"/>
                <w:b w:val="0"/>
                <w:bCs w:val="0"/>
                <w:sz w:val="24"/>
                <w:szCs w:val="24"/>
              </w:rPr>
            </w:pPr>
            <w:r w:rsidRPr="004D146A">
              <w:rPr>
                <w:rFonts w:ascii="Arial" w:eastAsia="標楷體" w:hAnsi="Arial" w:cs="Arial"/>
                <w:b w:val="0"/>
                <w:bCs w:val="0"/>
                <w:sz w:val="24"/>
                <w:szCs w:val="24"/>
              </w:rPr>
              <w:t>衛生福利部核准</w:t>
            </w:r>
            <w:r w:rsidR="00E3049D" w:rsidRPr="004D146A">
              <w:rPr>
                <w:rFonts w:ascii="Arial" w:eastAsia="標楷體" w:hAnsi="Arial" w:cs="Arial"/>
                <w:b w:val="0"/>
                <w:bCs w:val="0"/>
                <w:sz w:val="24"/>
                <w:szCs w:val="24"/>
              </w:rPr>
              <w:t>含</w:t>
            </w:r>
            <w:r w:rsidR="0001300E" w:rsidRPr="004D146A">
              <w:rPr>
                <w:rFonts w:ascii="Arial" w:eastAsia="標楷體" w:hAnsi="Arial" w:cs="Arial"/>
                <w:b w:val="0"/>
                <w:sz w:val="24"/>
                <w:szCs w:val="24"/>
              </w:rPr>
              <w:t>non-hyperimmune</w:t>
            </w:r>
            <w:r w:rsidR="00355F7A" w:rsidRPr="004D146A">
              <w:rPr>
                <w:rFonts w:ascii="Arial" w:eastAsia="標楷體" w:hAnsi="Arial" w:cs="Arial"/>
                <w:b w:val="0"/>
                <w:sz w:val="24"/>
                <w:szCs w:val="24"/>
              </w:rPr>
              <w:t>類</w:t>
            </w:r>
            <w:r w:rsidR="00AE42B1" w:rsidRPr="004D146A">
              <w:rPr>
                <w:rFonts w:ascii="Arial" w:eastAsia="標楷體" w:hAnsi="Arial" w:cs="Arial"/>
                <w:b w:val="0"/>
                <w:bCs w:val="0"/>
                <w:sz w:val="24"/>
                <w:szCs w:val="24"/>
              </w:rPr>
              <w:t>h</w:t>
            </w:r>
            <w:r w:rsidR="00AE42B1" w:rsidRPr="004D146A">
              <w:rPr>
                <w:rFonts w:ascii="Arial" w:eastAsia="標楷體" w:hAnsi="Arial" w:cs="Arial"/>
                <w:b w:val="0"/>
                <w:sz w:val="24"/>
                <w:szCs w:val="24"/>
              </w:rPr>
              <w:t>uman immune globulin</w:t>
            </w:r>
            <w:r w:rsidR="004669F4" w:rsidRPr="004D146A">
              <w:rPr>
                <w:rFonts w:ascii="Arial" w:eastAsia="標楷體" w:hAnsi="Arial" w:cs="Arial"/>
                <w:b w:val="0"/>
                <w:sz w:val="24"/>
                <w:szCs w:val="24"/>
              </w:rPr>
              <w:t>成分</w:t>
            </w:r>
            <w:r w:rsidRPr="004D146A">
              <w:rPr>
                <w:rFonts w:ascii="Arial" w:eastAsia="標楷體" w:hAnsi="Arial" w:cs="Arial"/>
                <w:b w:val="0"/>
                <w:bCs w:val="0"/>
                <w:sz w:val="24"/>
                <w:szCs w:val="24"/>
              </w:rPr>
              <w:t>藥品製劑許可證共</w:t>
            </w:r>
            <w:r w:rsidR="00E742AD" w:rsidRPr="004D146A">
              <w:rPr>
                <w:rFonts w:ascii="Arial" w:eastAsia="標楷體" w:hAnsi="Arial" w:cs="Arial"/>
                <w:b w:val="0"/>
                <w:bCs w:val="0"/>
                <w:sz w:val="24"/>
                <w:szCs w:val="24"/>
              </w:rPr>
              <w:t>6</w:t>
            </w:r>
            <w:r w:rsidRPr="004D146A">
              <w:rPr>
                <w:rFonts w:ascii="Arial" w:eastAsia="標楷體" w:hAnsi="Arial" w:cs="Arial"/>
                <w:b w:val="0"/>
                <w:bCs w:val="0"/>
                <w:sz w:val="24"/>
                <w:szCs w:val="24"/>
              </w:rPr>
              <w:t>張</w:t>
            </w:r>
            <w:r w:rsidR="004F3EB2">
              <w:rPr>
                <w:rFonts w:ascii="標楷體" w:eastAsia="標楷體" w:hAnsi="標楷體" w:cs="Arial" w:hint="eastAsia"/>
                <w:b w:val="0"/>
                <w:bCs w:val="0"/>
                <w:sz w:val="24"/>
                <w:szCs w:val="24"/>
              </w:rPr>
              <w:t>(</w:t>
            </w:r>
            <w:r w:rsidR="004F3EB2" w:rsidRPr="004D146A">
              <w:rPr>
                <w:rFonts w:ascii="Arial" w:eastAsia="標楷體" w:hAnsi="Arial" w:cs="Arial"/>
                <w:b w:val="0"/>
                <w:bCs w:val="0"/>
                <w:sz w:val="24"/>
                <w:szCs w:val="24"/>
              </w:rPr>
              <w:t>許可證</w:t>
            </w:r>
            <w:r w:rsidR="004F3EB2">
              <w:rPr>
                <w:rFonts w:ascii="Arial" w:eastAsia="標楷體" w:hAnsi="Arial" w:cs="Arial" w:hint="eastAsia"/>
                <w:b w:val="0"/>
                <w:bCs w:val="0"/>
                <w:sz w:val="24"/>
                <w:szCs w:val="24"/>
              </w:rPr>
              <w:t>清冊</w:t>
            </w:r>
            <w:bookmarkStart w:id="0" w:name="_GoBack"/>
            <w:bookmarkEnd w:id="0"/>
            <w:r w:rsidR="004F3EB2">
              <w:rPr>
                <w:rFonts w:ascii="標楷體" w:eastAsia="標楷體" w:hAnsi="標楷體" w:cs="Arial" w:hint="eastAsia"/>
                <w:b w:val="0"/>
                <w:bCs w:val="0"/>
                <w:sz w:val="24"/>
                <w:szCs w:val="24"/>
              </w:rPr>
              <w:t>詳如附件)</w:t>
            </w:r>
            <w:r w:rsidRPr="004D146A">
              <w:rPr>
                <w:rFonts w:ascii="Arial" w:eastAsia="標楷體" w:hAnsi="Arial" w:cs="Arial"/>
                <w:b w:val="0"/>
                <w:bCs w:val="0"/>
                <w:sz w:val="24"/>
                <w:szCs w:val="24"/>
              </w:rPr>
              <w:t>。</w:t>
            </w:r>
          </w:p>
          <w:p w:rsidR="00664155" w:rsidRPr="004D146A" w:rsidRDefault="004F3EB2" w:rsidP="00664155">
            <w:pPr>
              <w:pStyle w:val="1"/>
              <w:spacing w:before="0" w:beforeAutospacing="0" w:after="0" w:afterAutospacing="0" w:line="240" w:lineRule="atLeast"/>
              <w:rPr>
                <w:rFonts w:ascii="Arial" w:eastAsia="標楷體" w:hAnsi="Arial" w:cs="Arial"/>
                <w:b w:val="0"/>
                <w:bCs w:val="0"/>
                <w:sz w:val="24"/>
                <w:szCs w:val="24"/>
              </w:rPr>
            </w:pPr>
            <w:r>
              <w:rPr>
                <w:rFonts w:ascii="Arial" w:eastAsia="標楷體" w:hAnsi="Arial" w:cs="Arial"/>
                <w:b w:val="0"/>
                <w:bCs w:val="0"/>
                <w:sz w:val="24"/>
                <w:szCs w:val="24"/>
              </w:rPr>
              <w:t>網址</w:t>
            </w:r>
            <w:r w:rsidRPr="004F3EB2">
              <w:rPr>
                <w:rFonts w:ascii="Arial" w:eastAsia="標楷體" w:hAnsi="Arial" w:cs="Arial"/>
                <w:b w:val="0"/>
                <w:bCs w:val="0"/>
                <w:sz w:val="24"/>
                <w:szCs w:val="24"/>
              </w:rPr>
              <w:t>:</w:t>
            </w:r>
            <w:hyperlink r:id="rId8" w:history="1">
              <w:r w:rsidR="00664155" w:rsidRPr="004D146A">
                <w:rPr>
                  <w:rStyle w:val="ab"/>
                  <w:rFonts w:ascii="Arial" w:eastAsia="標楷體" w:hAnsi="Arial" w:cs="Arial"/>
                  <w:b w:val="0"/>
                  <w:bCs w:val="0"/>
                  <w:color w:val="auto"/>
                  <w:sz w:val="24"/>
                  <w:szCs w:val="24"/>
                </w:rPr>
                <w:t>http://www.fda.gov.tw/MLMS/(S(znig1l454kqx1v45ztdswp45))/H0001.aspx</w:t>
              </w:r>
            </w:hyperlink>
          </w:p>
        </w:tc>
      </w:tr>
      <w:tr w:rsidR="007E4E35" w:rsidRPr="004D146A" w:rsidTr="00E3049D">
        <w:trPr>
          <w:trHeight w:val="333"/>
          <w:jc w:val="center"/>
        </w:trPr>
        <w:tc>
          <w:tcPr>
            <w:tcW w:w="1795" w:type="dxa"/>
            <w:vAlign w:val="center"/>
          </w:tcPr>
          <w:p w:rsidR="00211E09" w:rsidRPr="004D146A" w:rsidRDefault="00211E09" w:rsidP="009424B6">
            <w:pPr>
              <w:jc w:val="center"/>
              <w:rPr>
                <w:rFonts w:ascii="Arial" w:eastAsia="標楷體" w:hAnsi="Arial" w:cs="Arial"/>
                <w:szCs w:val="24"/>
              </w:rPr>
            </w:pPr>
            <w:r w:rsidRPr="004D146A">
              <w:rPr>
                <w:rFonts w:ascii="Arial" w:eastAsia="標楷體" w:hAnsi="Arial" w:cs="Arial"/>
                <w:szCs w:val="24"/>
              </w:rPr>
              <w:t>適應症</w:t>
            </w:r>
          </w:p>
        </w:tc>
        <w:tc>
          <w:tcPr>
            <w:tcW w:w="8682" w:type="dxa"/>
          </w:tcPr>
          <w:p w:rsidR="000E26A1" w:rsidRPr="004D146A" w:rsidRDefault="00694832" w:rsidP="0040348B">
            <w:pPr>
              <w:rPr>
                <w:rFonts w:ascii="Arial" w:eastAsia="標楷體" w:hAnsi="Arial" w:cs="Arial"/>
                <w:szCs w:val="24"/>
              </w:rPr>
            </w:pPr>
            <w:r w:rsidRPr="004D146A">
              <w:rPr>
                <w:rFonts w:ascii="Arial" w:eastAsia="標楷體" w:hAnsi="Arial" w:cs="Arial"/>
                <w:szCs w:val="24"/>
              </w:rPr>
              <w:t>原發性免疫不全症</w:t>
            </w:r>
            <w:r w:rsidR="00127F8B" w:rsidRPr="004D146A">
              <w:rPr>
                <w:rFonts w:ascii="Arial" w:eastAsia="標楷體" w:hAnsi="Arial" w:cs="Arial"/>
                <w:szCs w:val="24"/>
              </w:rPr>
              <w:t>、原發性血小板缺乏紫斑症、</w:t>
            </w:r>
            <w:r w:rsidR="000E6EB9" w:rsidRPr="004D146A">
              <w:rPr>
                <w:rFonts w:ascii="Arial" w:eastAsia="標楷體" w:hAnsi="Arial" w:cs="Arial"/>
                <w:szCs w:val="24"/>
              </w:rPr>
              <w:t>異體</w:t>
            </w:r>
            <w:r w:rsidR="00127F8B" w:rsidRPr="004D146A">
              <w:rPr>
                <w:rFonts w:ascii="Arial" w:eastAsia="標楷體" w:hAnsi="Arial" w:cs="Arial"/>
                <w:szCs w:val="24"/>
              </w:rPr>
              <w:t>骨髓移植、川崎氏症、骨髓瘤與慢性淋巴癌引致嚴重次發性免疫球蛋白缺乏與復發性感染</w:t>
            </w:r>
            <w:r w:rsidR="00127F8B" w:rsidRPr="004D146A">
              <w:rPr>
                <w:rFonts w:ascii="Arial" w:eastAsia="標楷體" w:hAnsi="Arial" w:cs="Arial"/>
                <w:szCs w:val="24"/>
              </w:rPr>
              <w:t>…</w:t>
            </w:r>
            <w:r w:rsidR="00127F8B" w:rsidRPr="004D146A">
              <w:rPr>
                <w:rFonts w:ascii="Arial" w:eastAsia="標楷體" w:hAnsi="Arial" w:cs="Arial"/>
                <w:szCs w:val="24"/>
              </w:rPr>
              <w:t>等。</w:t>
            </w:r>
          </w:p>
        </w:tc>
      </w:tr>
      <w:tr w:rsidR="007E4E35" w:rsidRPr="004D146A" w:rsidTr="00E3049D">
        <w:trPr>
          <w:jc w:val="center"/>
        </w:trPr>
        <w:tc>
          <w:tcPr>
            <w:tcW w:w="1795" w:type="dxa"/>
            <w:vAlign w:val="center"/>
          </w:tcPr>
          <w:p w:rsidR="00211E09" w:rsidRPr="004D146A" w:rsidRDefault="00211E09" w:rsidP="009424B6">
            <w:pPr>
              <w:jc w:val="center"/>
              <w:rPr>
                <w:rFonts w:ascii="Arial" w:eastAsia="標楷體" w:hAnsi="Arial" w:cs="Arial"/>
                <w:szCs w:val="24"/>
              </w:rPr>
            </w:pPr>
            <w:r w:rsidRPr="004D146A">
              <w:rPr>
                <w:rFonts w:ascii="Arial" w:eastAsia="標楷體" w:hAnsi="Arial" w:cs="Arial"/>
                <w:szCs w:val="24"/>
              </w:rPr>
              <w:t>藥理作用機轉</w:t>
            </w:r>
          </w:p>
        </w:tc>
        <w:tc>
          <w:tcPr>
            <w:tcW w:w="8682" w:type="dxa"/>
          </w:tcPr>
          <w:p w:rsidR="00C870E0" w:rsidRPr="004D146A" w:rsidRDefault="00241548" w:rsidP="000E6EB9">
            <w:pPr>
              <w:autoSpaceDE w:val="0"/>
              <w:autoSpaceDN w:val="0"/>
              <w:adjustRightInd w:val="0"/>
              <w:rPr>
                <w:rFonts w:ascii="Arial" w:eastAsia="標楷體" w:hAnsi="Arial" w:cs="Arial"/>
                <w:szCs w:val="24"/>
              </w:rPr>
            </w:pPr>
            <w:r w:rsidRPr="004D146A">
              <w:rPr>
                <w:rFonts w:ascii="Arial" w:eastAsia="標楷體" w:hAnsi="Arial" w:cs="Arial"/>
                <w:szCs w:val="24"/>
              </w:rPr>
              <w:t>提供</w:t>
            </w:r>
            <w:r w:rsidRPr="004D146A">
              <w:rPr>
                <w:rFonts w:ascii="Arial" w:eastAsia="標楷體" w:hAnsi="Arial" w:cs="Arial"/>
                <w:szCs w:val="24"/>
              </w:rPr>
              <w:t>IgG</w:t>
            </w:r>
            <w:r w:rsidR="007E2AE8" w:rsidRPr="004D146A">
              <w:rPr>
                <w:rFonts w:ascii="Arial" w:eastAsia="標楷體" w:hAnsi="Arial" w:cs="Arial"/>
                <w:szCs w:val="24"/>
              </w:rPr>
              <w:t>抗體</w:t>
            </w:r>
            <w:r w:rsidR="006B0EA0" w:rsidRPr="004D146A">
              <w:rPr>
                <w:rFonts w:ascii="Arial" w:eastAsia="標楷體" w:hAnsi="Arial" w:cs="Arial"/>
                <w:szCs w:val="24"/>
              </w:rPr>
              <w:t>對抗細菌和</w:t>
            </w:r>
            <w:r w:rsidRPr="004D146A">
              <w:rPr>
                <w:rFonts w:ascii="Arial" w:eastAsia="標楷體" w:hAnsi="Arial" w:cs="Arial"/>
                <w:szCs w:val="24"/>
              </w:rPr>
              <w:t>病毒</w:t>
            </w:r>
            <w:r w:rsidR="006B0EA0" w:rsidRPr="004D146A">
              <w:rPr>
                <w:rFonts w:ascii="Arial" w:eastAsia="標楷體" w:hAnsi="Arial" w:cs="Arial"/>
                <w:szCs w:val="24"/>
              </w:rPr>
              <w:t>等</w:t>
            </w:r>
            <w:r w:rsidRPr="004D146A">
              <w:rPr>
                <w:rFonts w:ascii="Arial" w:eastAsia="標楷體" w:hAnsi="Arial" w:cs="Arial"/>
                <w:szCs w:val="24"/>
              </w:rPr>
              <w:t>及</w:t>
            </w:r>
            <w:r w:rsidR="00D7379E" w:rsidRPr="004D146A">
              <w:rPr>
                <w:rFonts w:ascii="Arial" w:eastAsia="標楷體" w:hAnsi="Arial" w:cs="Arial"/>
                <w:szCs w:val="24"/>
              </w:rPr>
              <w:t>其</w:t>
            </w:r>
            <w:r w:rsidRPr="004D146A">
              <w:rPr>
                <w:rFonts w:ascii="Arial" w:eastAsia="標楷體" w:hAnsi="Arial" w:cs="Arial"/>
                <w:szCs w:val="24"/>
              </w:rPr>
              <w:t>毒素，但在原發性免疫不全症及</w:t>
            </w:r>
            <w:r w:rsidR="00067D43" w:rsidRPr="004D146A">
              <w:rPr>
                <w:rFonts w:ascii="Arial" w:eastAsia="標楷體" w:hAnsi="Arial" w:cs="Arial"/>
                <w:szCs w:val="24"/>
              </w:rPr>
              <w:t>原</w:t>
            </w:r>
            <w:r w:rsidRPr="004D146A">
              <w:rPr>
                <w:rFonts w:ascii="Arial" w:eastAsia="標楷體" w:hAnsi="Arial" w:cs="Arial"/>
                <w:szCs w:val="24"/>
              </w:rPr>
              <w:t>發性血小板缺乏紫斑症的</w:t>
            </w:r>
            <w:r w:rsidR="00286A02" w:rsidRPr="004D146A">
              <w:rPr>
                <w:rFonts w:ascii="Arial" w:eastAsia="標楷體" w:hAnsi="Arial" w:cs="Arial"/>
                <w:szCs w:val="24"/>
              </w:rPr>
              <w:t>作用機轉尚未完全明瞭</w:t>
            </w:r>
            <w:r w:rsidR="003B09F6" w:rsidRPr="004D146A">
              <w:rPr>
                <w:rFonts w:ascii="Arial" w:eastAsia="標楷體" w:hAnsi="Arial" w:cs="Arial"/>
                <w:szCs w:val="24"/>
              </w:rPr>
              <w:t>。</w:t>
            </w:r>
          </w:p>
        </w:tc>
      </w:tr>
      <w:tr w:rsidR="007E4E35" w:rsidRPr="004D146A" w:rsidTr="00E3049D">
        <w:trPr>
          <w:trHeight w:val="896"/>
          <w:jc w:val="center"/>
        </w:trPr>
        <w:tc>
          <w:tcPr>
            <w:tcW w:w="1795" w:type="dxa"/>
            <w:vAlign w:val="center"/>
          </w:tcPr>
          <w:p w:rsidR="00211E09" w:rsidRPr="004D146A" w:rsidRDefault="00211E09" w:rsidP="009424B6">
            <w:pPr>
              <w:jc w:val="center"/>
              <w:rPr>
                <w:rFonts w:ascii="Arial" w:eastAsia="標楷體" w:hAnsi="Arial" w:cs="Arial"/>
                <w:szCs w:val="24"/>
              </w:rPr>
            </w:pPr>
            <w:r w:rsidRPr="004D146A">
              <w:rPr>
                <w:rFonts w:ascii="Arial" w:eastAsia="標楷體" w:hAnsi="Arial" w:cs="Arial"/>
                <w:szCs w:val="24"/>
              </w:rPr>
              <w:t>訊息緣由</w:t>
            </w:r>
          </w:p>
        </w:tc>
        <w:tc>
          <w:tcPr>
            <w:tcW w:w="8682" w:type="dxa"/>
          </w:tcPr>
          <w:p w:rsidR="004C643C" w:rsidRPr="004D146A" w:rsidRDefault="00217697" w:rsidP="004D146A">
            <w:pPr>
              <w:ind w:left="17" w:firstLineChars="7" w:firstLine="17"/>
              <w:rPr>
                <w:rFonts w:ascii="Arial" w:eastAsia="標楷體" w:hAnsi="Arial" w:cs="Arial"/>
                <w:szCs w:val="24"/>
              </w:rPr>
            </w:pPr>
            <w:r w:rsidRPr="004D146A">
              <w:rPr>
                <w:rFonts w:ascii="Arial" w:eastAsia="標楷體" w:hAnsi="Arial" w:cs="Arial"/>
                <w:szCs w:val="24"/>
              </w:rPr>
              <w:t>2014/10/09</w:t>
            </w:r>
            <w:r w:rsidR="00E23FC2" w:rsidRPr="004D146A">
              <w:rPr>
                <w:rFonts w:ascii="Arial" w:eastAsia="標楷體" w:hAnsi="Arial" w:cs="Arial"/>
                <w:szCs w:val="24"/>
              </w:rPr>
              <w:t>加拿大衛生部</w:t>
            </w:r>
            <w:r w:rsidR="00E23FC2" w:rsidRPr="004D146A">
              <w:rPr>
                <w:rFonts w:ascii="Arial" w:eastAsia="標楷體" w:hAnsi="Arial" w:cs="Arial"/>
                <w:szCs w:val="24"/>
              </w:rPr>
              <w:t>(Health Canada)</w:t>
            </w:r>
            <w:r w:rsidRPr="004D146A">
              <w:rPr>
                <w:rFonts w:ascii="Arial" w:eastAsia="標楷體" w:hAnsi="Arial" w:cs="Arial"/>
                <w:szCs w:val="24"/>
              </w:rPr>
              <w:t>發布</w:t>
            </w:r>
            <w:r w:rsidR="00E3049D" w:rsidRPr="004D146A">
              <w:rPr>
                <w:rFonts w:ascii="Arial" w:eastAsia="標楷體" w:hAnsi="Arial" w:cs="Arial"/>
                <w:bCs/>
                <w:szCs w:val="24"/>
              </w:rPr>
              <w:t>含</w:t>
            </w:r>
            <w:r w:rsidR="00025EB7" w:rsidRPr="004D146A">
              <w:rPr>
                <w:rFonts w:ascii="Arial" w:eastAsia="標楷體" w:hAnsi="Arial" w:cs="Arial"/>
                <w:szCs w:val="24"/>
              </w:rPr>
              <w:t>non-hyperimmune</w:t>
            </w:r>
            <w:r w:rsidR="00067D43" w:rsidRPr="004D146A">
              <w:rPr>
                <w:rFonts w:ascii="Arial" w:eastAsia="標楷體" w:hAnsi="Arial" w:cs="Arial"/>
                <w:szCs w:val="24"/>
              </w:rPr>
              <w:t>類</w:t>
            </w:r>
            <w:r w:rsidR="00AE42B1" w:rsidRPr="004D146A">
              <w:rPr>
                <w:rFonts w:ascii="Arial" w:eastAsia="標楷體" w:hAnsi="Arial" w:cs="Arial"/>
                <w:szCs w:val="24"/>
              </w:rPr>
              <w:t>human immune globulin</w:t>
            </w:r>
            <w:r w:rsidR="00EC088F" w:rsidRPr="004D146A">
              <w:rPr>
                <w:rFonts w:ascii="Arial" w:eastAsia="標楷體" w:hAnsi="Arial" w:cs="Arial"/>
                <w:szCs w:val="24"/>
              </w:rPr>
              <w:t>成分藥品</w:t>
            </w:r>
            <w:r w:rsidRPr="004D146A">
              <w:rPr>
                <w:rFonts w:ascii="Arial" w:eastAsia="標楷體" w:hAnsi="Arial" w:cs="Arial"/>
                <w:szCs w:val="24"/>
              </w:rPr>
              <w:t>具有潛在之</w:t>
            </w:r>
            <w:r w:rsidR="009D7F33" w:rsidRPr="004D146A">
              <w:rPr>
                <w:rFonts w:ascii="Arial" w:eastAsia="標楷體" w:hAnsi="Arial" w:cs="Arial"/>
                <w:szCs w:val="24"/>
              </w:rPr>
              <w:t>血栓</w:t>
            </w:r>
            <w:r w:rsidRPr="004D146A">
              <w:rPr>
                <w:rFonts w:ascii="Arial" w:eastAsia="標楷體" w:hAnsi="Arial" w:cs="Arial"/>
                <w:szCs w:val="24"/>
              </w:rPr>
              <w:t>風險</w:t>
            </w:r>
            <w:r w:rsidR="004C643C" w:rsidRPr="004D146A">
              <w:rPr>
                <w:rFonts w:ascii="Arial" w:eastAsia="標楷體" w:hAnsi="Arial" w:cs="Arial"/>
                <w:szCs w:val="24"/>
              </w:rPr>
              <w:t>；美國</w:t>
            </w:r>
            <w:r w:rsidR="004C643C" w:rsidRPr="004D146A">
              <w:rPr>
                <w:rFonts w:ascii="Arial" w:eastAsia="標楷體" w:hAnsi="Arial" w:cs="Arial"/>
                <w:szCs w:val="24"/>
              </w:rPr>
              <w:t>FDA</w:t>
            </w:r>
            <w:r w:rsidR="004C643C" w:rsidRPr="004D146A">
              <w:rPr>
                <w:rFonts w:ascii="Arial" w:eastAsia="標楷體" w:hAnsi="Arial" w:cs="Arial"/>
                <w:szCs w:val="24"/>
              </w:rPr>
              <w:t>亦曾發布類似訊息</w:t>
            </w:r>
            <w:r w:rsidR="00217579" w:rsidRPr="004D146A">
              <w:rPr>
                <w:rFonts w:ascii="Arial" w:eastAsia="標楷體" w:hAnsi="Arial" w:cs="Arial"/>
                <w:szCs w:val="24"/>
              </w:rPr>
              <w:t>。</w:t>
            </w:r>
          </w:p>
          <w:p w:rsidR="00217579" w:rsidRPr="004D146A" w:rsidRDefault="004C643C" w:rsidP="00737BC7">
            <w:pPr>
              <w:pStyle w:val="a9"/>
              <w:numPr>
                <w:ilvl w:val="0"/>
                <w:numId w:val="3"/>
              </w:numPr>
              <w:ind w:leftChars="0"/>
              <w:rPr>
                <w:rFonts w:ascii="Arial" w:eastAsia="標楷體" w:hAnsi="Arial" w:cs="Arial"/>
                <w:szCs w:val="24"/>
              </w:rPr>
            </w:pPr>
            <w:r w:rsidRPr="004D146A">
              <w:rPr>
                <w:rFonts w:ascii="Arial" w:eastAsia="標楷體" w:hAnsi="Arial" w:cs="Arial"/>
                <w:szCs w:val="24"/>
              </w:rPr>
              <w:t>Health Canada</w:t>
            </w:r>
            <w:r w:rsidRPr="004D146A">
              <w:rPr>
                <w:rFonts w:ascii="Arial" w:eastAsia="標楷體" w:hAnsi="Arial" w:cs="Arial"/>
                <w:szCs w:val="24"/>
              </w:rPr>
              <w:t>訊息</w:t>
            </w:r>
            <w:r w:rsidR="00666EEC" w:rsidRPr="004D146A">
              <w:rPr>
                <w:rFonts w:ascii="Arial" w:eastAsia="標楷體" w:hAnsi="Arial" w:cs="Arial"/>
                <w:szCs w:val="24"/>
              </w:rPr>
              <w:t>網址：</w:t>
            </w:r>
          </w:p>
          <w:p w:rsidR="00217697" w:rsidRPr="0040348B" w:rsidRDefault="00403F35" w:rsidP="004C643C">
            <w:pPr>
              <w:pStyle w:val="a9"/>
              <w:ind w:leftChars="0" w:left="394"/>
              <w:rPr>
                <w:rFonts w:ascii="Arial" w:eastAsia="標楷體" w:hAnsi="Arial" w:cs="Arial"/>
                <w:spacing w:val="-2"/>
                <w:sz w:val="22"/>
              </w:rPr>
            </w:pPr>
            <w:hyperlink r:id="rId9" w:history="1">
              <w:r w:rsidR="00217697" w:rsidRPr="0040348B">
                <w:rPr>
                  <w:rStyle w:val="ab"/>
                  <w:rFonts w:ascii="Arial" w:eastAsia="標楷體" w:hAnsi="Arial" w:cs="Arial"/>
                  <w:color w:val="auto"/>
                  <w:spacing w:val="-2"/>
                  <w:sz w:val="22"/>
                </w:rPr>
                <w:t>http://hc-sc.gc.ca/dhp-mps/medeff/advisories-avis/review-examen/immuno-eng.php</w:t>
              </w:r>
            </w:hyperlink>
          </w:p>
          <w:p w:rsidR="00324DD3" w:rsidRPr="00102FE1" w:rsidRDefault="00403F35" w:rsidP="004C643C">
            <w:pPr>
              <w:pStyle w:val="a9"/>
              <w:ind w:leftChars="0" w:left="394"/>
              <w:rPr>
                <w:rFonts w:ascii="Arial" w:eastAsia="標楷體" w:hAnsi="Arial" w:cs="Arial"/>
                <w:sz w:val="22"/>
              </w:rPr>
            </w:pPr>
            <w:hyperlink r:id="rId10" w:history="1">
              <w:r w:rsidR="00324DD3" w:rsidRPr="00102FE1">
                <w:rPr>
                  <w:rStyle w:val="ab"/>
                  <w:rFonts w:ascii="Arial" w:eastAsia="標楷體" w:hAnsi="Arial" w:cs="Arial"/>
                  <w:color w:val="auto"/>
                  <w:sz w:val="22"/>
                </w:rPr>
                <w:t>http://healthycanadians.gc.ca/recall-alert-rappel-avis/hc-sc/2014/41783a-eng.php</w:t>
              </w:r>
            </w:hyperlink>
          </w:p>
          <w:p w:rsidR="00324DD3" w:rsidRPr="004D146A" w:rsidRDefault="00403F35" w:rsidP="004C643C">
            <w:pPr>
              <w:pStyle w:val="a9"/>
              <w:ind w:leftChars="0" w:left="394"/>
              <w:rPr>
                <w:rFonts w:ascii="Arial" w:eastAsia="標楷體" w:hAnsi="Arial" w:cs="Arial"/>
                <w:szCs w:val="24"/>
              </w:rPr>
            </w:pPr>
            <w:hyperlink r:id="rId11" w:history="1">
              <w:r w:rsidR="00324DD3" w:rsidRPr="00102FE1">
                <w:rPr>
                  <w:rStyle w:val="ab"/>
                  <w:rFonts w:ascii="Arial" w:eastAsia="標楷體" w:hAnsi="Arial" w:cs="Arial"/>
                  <w:color w:val="auto"/>
                  <w:sz w:val="22"/>
                </w:rPr>
                <w:t>http://healthycanadians.gc.ca/recall-alert-rappel-avis/hc-sc/2014/41749a-eng.php</w:t>
              </w:r>
            </w:hyperlink>
          </w:p>
          <w:p w:rsidR="00344FEF" w:rsidRPr="004D146A" w:rsidRDefault="004C643C" w:rsidP="00737BC7">
            <w:pPr>
              <w:pStyle w:val="a9"/>
              <w:numPr>
                <w:ilvl w:val="0"/>
                <w:numId w:val="3"/>
              </w:numPr>
              <w:ind w:leftChars="0"/>
              <w:rPr>
                <w:rFonts w:ascii="Arial" w:eastAsia="標楷體" w:hAnsi="Arial" w:cs="Arial"/>
                <w:szCs w:val="24"/>
              </w:rPr>
            </w:pPr>
            <w:r w:rsidRPr="004D146A">
              <w:rPr>
                <w:rFonts w:ascii="Arial" w:eastAsia="標楷體" w:hAnsi="Arial" w:cs="Arial"/>
                <w:szCs w:val="24"/>
              </w:rPr>
              <w:t>美國</w:t>
            </w:r>
            <w:r w:rsidRPr="004D146A">
              <w:rPr>
                <w:rFonts w:ascii="Arial" w:eastAsia="標楷體" w:hAnsi="Arial" w:cs="Arial"/>
                <w:szCs w:val="24"/>
              </w:rPr>
              <w:t>FDA</w:t>
            </w:r>
            <w:r w:rsidRPr="004D146A">
              <w:rPr>
                <w:rFonts w:ascii="Arial" w:eastAsia="標楷體" w:hAnsi="Arial" w:cs="Arial"/>
                <w:szCs w:val="24"/>
              </w:rPr>
              <w:t>訊息網址：</w:t>
            </w:r>
          </w:p>
          <w:p w:rsidR="00217697" w:rsidRPr="00102FE1" w:rsidRDefault="00403F35" w:rsidP="00217697">
            <w:pPr>
              <w:pStyle w:val="a9"/>
              <w:ind w:leftChars="0" w:left="394"/>
              <w:rPr>
                <w:rFonts w:ascii="Arial" w:eastAsia="標楷體" w:hAnsi="Arial" w:cs="Arial"/>
                <w:sz w:val="22"/>
              </w:rPr>
            </w:pPr>
            <w:hyperlink r:id="rId12" w:history="1">
              <w:r w:rsidR="00217697" w:rsidRPr="00102FE1">
                <w:rPr>
                  <w:rStyle w:val="ab"/>
                  <w:rFonts w:ascii="Arial" w:eastAsia="標楷體" w:hAnsi="Arial" w:cs="Arial"/>
                  <w:color w:val="auto"/>
                  <w:sz w:val="22"/>
                </w:rPr>
                <w:t>http://www.fda.gov/BiologicsBloodVaccines/SafetyAvailability/ucm375096.htm</w:t>
              </w:r>
            </w:hyperlink>
          </w:p>
        </w:tc>
      </w:tr>
      <w:tr w:rsidR="007E4E35" w:rsidRPr="004D146A" w:rsidTr="0040348B">
        <w:trPr>
          <w:trHeight w:val="6991"/>
          <w:jc w:val="center"/>
        </w:trPr>
        <w:tc>
          <w:tcPr>
            <w:tcW w:w="1795" w:type="dxa"/>
            <w:vAlign w:val="center"/>
          </w:tcPr>
          <w:p w:rsidR="00DE1E4F" w:rsidRPr="004D146A" w:rsidRDefault="00D53DA8" w:rsidP="009424B6">
            <w:pPr>
              <w:jc w:val="center"/>
              <w:rPr>
                <w:rFonts w:ascii="Arial" w:eastAsia="標楷體" w:hAnsi="Arial" w:cs="Arial"/>
                <w:szCs w:val="24"/>
              </w:rPr>
            </w:pPr>
            <w:r w:rsidRPr="004D146A">
              <w:rPr>
                <w:rFonts w:ascii="Arial" w:eastAsia="標楷體" w:hAnsi="Arial" w:cs="Arial"/>
                <w:szCs w:val="24"/>
              </w:rPr>
              <w:t>藥品安全</w:t>
            </w:r>
          </w:p>
          <w:p w:rsidR="00061A02" w:rsidRPr="004D146A" w:rsidRDefault="00D53DA8" w:rsidP="009424B6">
            <w:pPr>
              <w:jc w:val="center"/>
              <w:rPr>
                <w:rFonts w:ascii="Arial" w:eastAsia="標楷體" w:hAnsi="Arial" w:cs="Arial"/>
                <w:szCs w:val="24"/>
              </w:rPr>
            </w:pPr>
            <w:r w:rsidRPr="004D146A">
              <w:rPr>
                <w:rFonts w:ascii="Arial" w:eastAsia="標楷體" w:hAnsi="Arial" w:cs="Arial"/>
                <w:szCs w:val="24"/>
              </w:rPr>
              <w:t>有關資訊分析</w:t>
            </w:r>
          </w:p>
          <w:p w:rsidR="00D53DA8" w:rsidRPr="004D146A" w:rsidRDefault="00D53DA8" w:rsidP="009424B6">
            <w:pPr>
              <w:jc w:val="center"/>
              <w:rPr>
                <w:rFonts w:ascii="Arial" w:eastAsia="標楷體" w:hAnsi="Arial" w:cs="Arial"/>
                <w:szCs w:val="24"/>
              </w:rPr>
            </w:pPr>
            <w:r w:rsidRPr="004D146A">
              <w:rPr>
                <w:rFonts w:ascii="Arial" w:eastAsia="標楷體" w:hAnsi="Arial" w:cs="Arial"/>
                <w:szCs w:val="24"/>
              </w:rPr>
              <w:t>及描述</w:t>
            </w:r>
          </w:p>
        </w:tc>
        <w:tc>
          <w:tcPr>
            <w:tcW w:w="8682" w:type="dxa"/>
          </w:tcPr>
          <w:p w:rsidR="000B2AA3" w:rsidRPr="004D146A" w:rsidRDefault="00A9761C" w:rsidP="00737BC7">
            <w:pPr>
              <w:pStyle w:val="a9"/>
              <w:numPr>
                <w:ilvl w:val="0"/>
                <w:numId w:val="2"/>
              </w:numPr>
              <w:ind w:leftChars="0"/>
              <w:jc w:val="both"/>
              <w:rPr>
                <w:rFonts w:ascii="Arial" w:eastAsia="標楷體" w:hAnsi="Arial" w:cs="Arial"/>
                <w:szCs w:val="24"/>
              </w:rPr>
            </w:pPr>
            <w:r w:rsidRPr="004D146A">
              <w:rPr>
                <w:rFonts w:ascii="Arial" w:eastAsia="標楷體" w:hAnsi="Arial" w:cs="Arial"/>
                <w:szCs w:val="24"/>
              </w:rPr>
              <w:t>加拿大衛生部</w:t>
            </w:r>
            <w:r w:rsidR="009B0E58" w:rsidRPr="004D146A">
              <w:rPr>
                <w:rFonts w:ascii="Arial" w:eastAsia="標楷體" w:hAnsi="Arial" w:cs="Arial"/>
                <w:szCs w:val="24"/>
              </w:rPr>
              <w:t>針對</w:t>
            </w:r>
            <w:r w:rsidR="00E3049D" w:rsidRPr="004D146A">
              <w:rPr>
                <w:rFonts w:ascii="Arial" w:eastAsia="標楷體" w:hAnsi="Arial" w:cs="Arial"/>
                <w:bCs/>
                <w:szCs w:val="24"/>
              </w:rPr>
              <w:t>含</w:t>
            </w:r>
            <w:r w:rsidR="007E2943" w:rsidRPr="004D146A">
              <w:rPr>
                <w:rFonts w:ascii="Arial" w:eastAsia="標楷體" w:hAnsi="Arial" w:cs="Arial"/>
                <w:szCs w:val="24"/>
              </w:rPr>
              <w:t>non-hyperimmune</w:t>
            </w:r>
            <w:r w:rsidR="00355F7A" w:rsidRPr="004D146A">
              <w:rPr>
                <w:rFonts w:ascii="Arial" w:eastAsia="標楷體" w:hAnsi="Arial" w:cs="Arial"/>
                <w:szCs w:val="24"/>
              </w:rPr>
              <w:t>類</w:t>
            </w:r>
            <w:r w:rsidR="00AE42B1" w:rsidRPr="004D146A">
              <w:rPr>
                <w:rFonts w:ascii="Arial" w:eastAsia="標楷體" w:hAnsi="Arial" w:cs="Arial"/>
                <w:szCs w:val="24"/>
              </w:rPr>
              <w:t>human immune globulin</w:t>
            </w:r>
            <w:r w:rsidR="00AE3D73" w:rsidRPr="004D146A">
              <w:rPr>
                <w:rFonts w:ascii="Arial" w:eastAsia="標楷體" w:hAnsi="Arial" w:cs="Arial"/>
                <w:szCs w:val="24"/>
              </w:rPr>
              <w:t>成分藥品</w:t>
            </w:r>
            <w:r w:rsidR="009D7F33" w:rsidRPr="004D146A">
              <w:rPr>
                <w:rFonts w:ascii="Arial" w:eastAsia="標楷體" w:hAnsi="Arial" w:cs="Arial"/>
                <w:szCs w:val="24"/>
              </w:rPr>
              <w:t>進行</w:t>
            </w:r>
            <w:r w:rsidR="009B0E58" w:rsidRPr="004D146A">
              <w:rPr>
                <w:rFonts w:ascii="Arial" w:eastAsia="標楷體" w:hAnsi="Arial" w:cs="Arial"/>
                <w:szCs w:val="24"/>
              </w:rPr>
              <w:t>安全性再</w:t>
            </w:r>
            <w:r w:rsidRPr="004D146A">
              <w:rPr>
                <w:rFonts w:ascii="Arial" w:eastAsia="標楷體" w:hAnsi="Arial" w:cs="Arial"/>
                <w:szCs w:val="24"/>
              </w:rPr>
              <w:t>評估</w:t>
            </w:r>
            <w:r w:rsidR="009D7F33" w:rsidRPr="004D146A">
              <w:rPr>
                <w:rFonts w:ascii="Arial" w:eastAsia="標楷體" w:hAnsi="Arial" w:cs="Arial"/>
                <w:szCs w:val="24"/>
              </w:rPr>
              <w:t>後</w:t>
            </w:r>
            <w:r w:rsidR="009B0E58" w:rsidRPr="004D146A">
              <w:rPr>
                <w:rFonts w:ascii="Arial" w:eastAsia="標楷體" w:hAnsi="Arial" w:cs="Arial"/>
                <w:szCs w:val="24"/>
              </w:rPr>
              <w:t>提出</w:t>
            </w:r>
            <w:r w:rsidR="007B4269" w:rsidRPr="004D146A">
              <w:rPr>
                <w:rFonts w:ascii="Arial" w:eastAsia="標楷體" w:hAnsi="Arial" w:cs="Arial"/>
                <w:szCs w:val="24"/>
              </w:rPr>
              <w:t>，</w:t>
            </w:r>
            <w:r w:rsidR="009B0E58" w:rsidRPr="004D146A">
              <w:rPr>
                <w:rFonts w:ascii="Arial" w:eastAsia="標楷體" w:hAnsi="Arial" w:cs="Arial"/>
                <w:szCs w:val="24"/>
              </w:rPr>
              <w:t>該類</w:t>
            </w:r>
            <w:r w:rsidR="009D7F33" w:rsidRPr="004D146A">
              <w:rPr>
                <w:rFonts w:ascii="Arial" w:eastAsia="標楷體" w:hAnsi="Arial" w:cs="Arial"/>
                <w:szCs w:val="24"/>
              </w:rPr>
              <w:t>藥品不論使用劑量多寡、</w:t>
            </w:r>
            <w:r w:rsidR="009B0E58" w:rsidRPr="004D146A">
              <w:rPr>
                <w:rFonts w:ascii="Arial" w:eastAsia="標楷體" w:hAnsi="Arial" w:cs="Arial"/>
                <w:szCs w:val="24"/>
              </w:rPr>
              <w:t>投</w:t>
            </w:r>
            <w:r w:rsidR="009D7F33" w:rsidRPr="004D146A">
              <w:rPr>
                <w:rFonts w:ascii="Arial" w:eastAsia="標楷體" w:hAnsi="Arial" w:cs="Arial"/>
                <w:szCs w:val="24"/>
              </w:rPr>
              <w:t>予途徑</w:t>
            </w:r>
            <w:r w:rsidR="009B0E58" w:rsidRPr="004D146A">
              <w:rPr>
                <w:rFonts w:ascii="Arial" w:eastAsia="標楷體" w:hAnsi="Arial" w:cs="Arial"/>
                <w:szCs w:val="24"/>
              </w:rPr>
              <w:t>為何</w:t>
            </w:r>
            <w:r w:rsidR="009D7F33" w:rsidRPr="004D146A">
              <w:rPr>
                <w:rFonts w:ascii="Arial" w:eastAsia="標楷體" w:hAnsi="Arial" w:cs="Arial"/>
                <w:szCs w:val="24"/>
              </w:rPr>
              <w:t>（靜脈注射、肌肉注射或皮下注射），或使用者</w:t>
            </w:r>
            <w:r w:rsidR="007B4269" w:rsidRPr="004D146A">
              <w:rPr>
                <w:rFonts w:ascii="Arial" w:eastAsia="標楷體" w:hAnsi="Arial" w:cs="Arial"/>
                <w:szCs w:val="24"/>
              </w:rPr>
              <w:t>是否</w:t>
            </w:r>
            <w:r w:rsidR="009D7F33" w:rsidRPr="004D146A">
              <w:rPr>
                <w:rFonts w:ascii="Arial" w:eastAsia="標楷體" w:hAnsi="Arial" w:cs="Arial"/>
                <w:szCs w:val="24"/>
              </w:rPr>
              <w:t>具血栓</w:t>
            </w:r>
            <w:r w:rsidR="007B4269" w:rsidRPr="004D146A">
              <w:rPr>
                <w:rFonts w:ascii="Arial" w:eastAsia="標楷體" w:hAnsi="Arial" w:cs="Arial"/>
                <w:szCs w:val="24"/>
              </w:rPr>
              <w:t>危險因</w:t>
            </w:r>
            <w:r w:rsidR="00FD40E2" w:rsidRPr="004D146A">
              <w:rPr>
                <w:rFonts w:ascii="Arial" w:eastAsia="標楷體" w:hAnsi="Arial" w:cs="Arial"/>
                <w:szCs w:val="24"/>
              </w:rPr>
              <w:t>子</w:t>
            </w:r>
            <w:r w:rsidR="009D7F33" w:rsidRPr="004D146A">
              <w:rPr>
                <w:rFonts w:ascii="Arial" w:eastAsia="標楷體" w:hAnsi="Arial" w:cs="Arial"/>
                <w:szCs w:val="24"/>
              </w:rPr>
              <w:t>，</w:t>
            </w:r>
            <w:r w:rsidR="007A6DF5" w:rsidRPr="004D146A">
              <w:rPr>
                <w:rFonts w:ascii="Arial" w:eastAsia="標楷體" w:hAnsi="Arial" w:cs="Arial"/>
                <w:szCs w:val="24"/>
              </w:rPr>
              <w:t>皆</w:t>
            </w:r>
            <w:r w:rsidRPr="004D146A">
              <w:rPr>
                <w:rFonts w:ascii="Arial" w:eastAsia="標楷體" w:hAnsi="Arial" w:cs="Arial"/>
                <w:szCs w:val="24"/>
              </w:rPr>
              <w:t>具有</w:t>
            </w:r>
            <w:r w:rsidR="00355F7A" w:rsidRPr="004D146A">
              <w:rPr>
                <w:rFonts w:ascii="Arial" w:eastAsia="標楷體" w:hAnsi="Arial" w:cs="Arial"/>
                <w:szCs w:val="24"/>
              </w:rPr>
              <w:t>潛在之</w:t>
            </w:r>
            <w:r w:rsidR="009D7F33" w:rsidRPr="004D146A">
              <w:rPr>
                <w:rFonts w:ascii="Arial" w:eastAsia="標楷體" w:hAnsi="Arial" w:cs="Arial"/>
                <w:szCs w:val="24"/>
              </w:rPr>
              <w:t>血栓</w:t>
            </w:r>
            <w:r w:rsidRPr="004D146A">
              <w:rPr>
                <w:rFonts w:ascii="Arial" w:eastAsia="標楷體" w:hAnsi="Arial" w:cs="Arial"/>
                <w:szCs w:val="24"/>
              </w:rPr>
              <w:t>風險</w:t>
            </w:r>
            <w:r w:rsidR="00510943" w:rsidRPr="004D146A">
              <w:rPr>
                <w:rFonts w:ascii="Arial" w:eastAsia="標楷體" w:hAnsi="Arial" w:cs="Arial"/>
                <w:szCs w:val="24"/>
              </w:rPr>
              <w:t>；</w:t>
            </w:r>
            <w:r w:rsidR="007E2943" w:rsidRPr="004D146A">
              <w:rPr>
                <w:rFonts w:ascii="Arial" w:eastAsia="標楷體" w:hAnsi="Arial" w:cs="Arial"/>
                <w:szCs w:val="24"/>
              </w:rPr>
              <w:t>美國</w:t>
            </w:r>
            <w:r w:rsidR="007E2943" w:rsidRPr="004D146A">
              <w:rPr>
                <w:rFonts w:ascii="Arial" w:eastAsia="標楷體" w:hAnsi="Arial" w:cs="Arial"/>
                <w:szCs w:val="24"/>
              </w:rPr>
              <w:t>FDA</w:t>
            </w:r>
            <w:r w:rsidR="007E2943" w:rsidRPr="004D146A">
              <w:rPr>
                <w:rFonts w:ascii="Arial" w:eastAsia="標楷體" w:hAnsi="Arial" w:cs="Arial"/>
                <w:szCs w:val="24"/>
              </w:rPr>
              <w:t>亦曾</w:t>
            </w:r>
            <w:r w:rsidR="00510943" w:rsidRPr="004D146A">
              <w:rPr>
                <w:rFonts w:ascii="Arial" w:eastAsia="標楷體" w:hAnsi="Arial" w:cs="Arial"/>
                <w:szCs w:val="24"/>
              </w:rPr>
              <w:t>對</w:t>
            </w:r>
            <w:r w:rsidR="001F71A4" w:rsidRPr="004D146A">
              <w:rPr>
                <w:rFonts w:ascii="Arial" w:eastAsia="標楷體" w:hAnsi="Arial" w:cs="Arial"/>
                <w:bCs/>
                <w:szCs w:val="24"/>
              </w:rPr>
              <w:t>含</w:t>
            </w:r>
            <w:r w:rsidR="00510943" w:rsidRPr="004D146A">
              <w:rPr>
                <w:rFonts w:ascii="Arial" w:eastAsia="標楷體" w:hAnsi="Arial" w:cs="Arial"/>
                <w:szCs w:val="24"/>
              </w:rPr>
              <w:t>human immune globulin</w:t>
            </w:r>
            <w:r w:rsidR="00703DD6" w:rsidRPr="004D146A">
              <w:rPr>
                <w:rFonts w:ascii="Arial" w:eastAsia="標楷體" w:hAnsi="Arial" w:cs="Arial"/>
                <w:szCs w:val="24"/>
              </w:rPr>
              <w:t>成分藥品</w:t>
            </w:r>
            <w:r w:rsidR="007E2943" w:rsidRPr="004D146A">
              <w:rPr>
                <w:rFonts w:ascii="Arial" w:eastAsia="標楷體" w:hAnsi="Arial" w:cs="Arial"/>
                <w:szCs w:val="24"/>
              </w:rPr>
              <w:t>發布類似訊息</w:t>
            </w:r>
            <w:r w:rsidR="00510943" w:rsidRPr="004D146A">
              <w:rPr>
                <w:rFonts w:ascii="Arial" w:eastAsia="標楷體" w:hAnsi="Arial" w:cs="Arial"/>
                <w:szCs w:val="24"/>
              </w:rPr>
              <w:t>。</w:t>
            </w:r>
          </w:p>
          <w:p w:rsidR="000B2AA3" w:rsidRPr="004D146A" w:rsidRDefault="000B2AA3" w:rsidP="00737BC7">
            <w:pPr>
              <w:pStyle w:val="a9"/>
              <w:numPr>
                <w:ilvl w:val="0"/>
                <w:numId w:val="2"/>
              </w:numPr>
              <w:ind w:leftChars="0"/>
              <w:jc w:val="both"/>
              <w:rPr>
                <w:rFonts w:ascii="Arial" w:eastAsia="標楷體" w:hAnsi="Arial" w:cs="Arial"/>
                <w:szCs w:val="24"/>
              </w:rPr>
            </w:pPr>
            <w:r w:rsidRPr="004D146A">
              <w:rPr>
                <w:rFonts w:ascii="Arial" w:eastAsia="標楷體" w:hAnsi="Arial" w:cs="Arial"/>
                <w:szCs w:val="24"/>
              </w:rPr>
              <w:t>血栓（或血塊）可能部分或完全</w:t>
            </w:r>
            <w:r w:rsidR="00F72160" w:rsidRPr="004D146A">
              <w:rPr>
                <w:rFonts w:ascii="Arial" w:eastAsia="標楷體" w:hAnsi="Arial" w:cs="Arial"/>
                <w:szCs w:val="24"/>
              </w:rPr>
              <w:t>地</w:t>
            </w:r>
            <w:r w:rsidRPr="004D146A">
              <w:rPr>
                <w:rFonts w:ascii="Arial" w:eastAsia="標楷體" w:hAnsi="Arial" w:cs="Arial"/>
                <w:szCs w:val="24"/>
              </w:rPr>
              <w:t>堵塞血流，</w:t>
            </w:r>
            <w:r w:rsidR="00F72160" w:rsidRPr="004D146A">
              <w:rPr>
                <w:rFonts w:ascii="Arial" w:eastAsia="標楷體" w:hAnsi="Arial" w:cs="Arial"/>
                <w:szCs w:val="24"/>
              </w:rPr>
              <w:t>其</w:t>
            </w:r>
            <w:r w:rsidRPr="004D146A">
              <w:rPr>
                <w:rFonts w:ascii="Arial" w:eastAsia="標楷體" w:hAnsi="Arial" w:cs="Arial"/>
                <w:szCs w:val="24"/>
              </w:rPr>
              <w:t>可能以各種方式出現在身體的任何部位，包括深層靜脈栓塞（腿）、肺栓塞（肺）、心肌梗塞（心臟）與中風（腦）；在許多情況下，血栓可能危及生命。</w:t>
            </w:r>
          </w:p>
          <w:p w:rsidR="00B869B1" w:rsidRPr="004D146A" w:rsidRDefault="00AF3FB2" w:rsidP="00737BC7">
            <w:pPr>
              <w:pStyle w:val="a9"/>
              <w:numPr>
                <w:ilvl w:val="0"/>
                <w:numId w:val="2"/>
              </w:numPr>
              <w:ind w:leftChars="0"/>
              <w:jc w:val="both"/>
              <w:rPr>
                <w:rFonts w:ascii="Arial" w:eastAsia="標楷體" w:hAnsi="Arial" w:cs="Arial"/>
                <w:szCs w:val="24"/>
              </w:rPr>
            </w:pPr>
            <w:r w:rsidRPr="004D146A">
              <w:rPr>
                <w:rFonts w:ascii="Arial" w:eastAsia="標楷體" w:hAnsi="Arial" w:cs="Arial"/>
                <w:szCs w:val="24"/>
              </w:rPr>
              <w:t>美國</w:t>
            </w:r>
            <w:r w:rsidRPr="004D146A">
              <w:rPr>
                <w:rFonts w:ascii="Arial" w:eastAsia="標楷體" w:hAnsi="Arial" w:cs="Arial"/>
                <w:szCs w:val="24"/>
              </w:rPr>
              <w:t>FDA</w:t>
            </w:r>
            <w:r w:rsidR="00AE42B1" w:rsidRPr="004D146A">
              <w:rPr>
                <w:rFonts w:ascii="Arial" w:eastAsia="標楷體" w:hAnsi="Arial" w:cs="Arial"/>
                <w:szCs w:val="24"/>
              </w:rPr>
              <w:t>針對上述</w:t>
            </w:r>
            <w:r w:rsidR="006F635B" w:rsidRPr="004D146A">
              <w:rPr>
                <w:rFonts w:ascii="Arial" w:eastAsia="標楷體" w:hAnsi="Arial" w:cs="Arial"/>
                <w:szCs w:val="24"/>
              </w:rPr>
              <w:t>血栓</w:t>
            </w:r>
            <w:r w:rsidR="00AE42B1" w:rsidRPr="004D146A">
              <w:rPr>
                <w:rFonts w:ascii="Arial" w:eastAsia="標楷體" w:hAnsi="Arial" w:cs="Arial"/>
                <w:szCs w:val="24"/>
              </w:rPr>
              <w:t>風險</w:t>
            </w:r>
            <w:r w:rsidR="00B869B1" w:rsidRPr="004D146A">
              <w:rPr>
                <w:rFonts w:ascii="Arial" w:eastAsia="標楷體" w:hAnsi="Arial" w:cs="Arial"/>
                <w:szCs w:val="24"/>
              </w:rPr>
              <w:t>增修</w:t>
            </w:r>
            <w:r w:rsidR="001F71A4" w:rsidRPr="004D146A">
              <w:rPr>
                <w:rFonts w:ascii="Arial" w:eastAsia="標楷體" w:hAnsi="Arial" w:cs="Arial"/>
                <w:bCs/>
                <w:szCs w:val="24"/>
              </w:rPr>
              <w:t>含</w:t>
            </w:r>
            <w:r w:rsidR="00AE42B1" w:rsidRPr="004D146A">
              <w:rPr>
                <w:rFonts w:ascii="Arial" w:eastAsia="標楷體" w:hAnsi="Arial" w:cs="Arial"/>
                <w:szCs w:val="24"/>
              </w:rPr>
              <w:t>human immune globulin</w:t>
            </w:r>
            <w:r w:rsidR="006F635B" w:rsidRPr="004D146A">
              <w:rPr>
                <w:rFonts w:ascii="Arial" w:eastAsia="標楷體" w:hAnsi="Arial" w:cs="Arial"/>
                <w:szCs w:val="24"/>
              </w:rPr>
              <w:t>成分藥品</w:t>
            </w:r>
            <w:r w:rsidR="00AE42B1" w:rsidRPr="004D146A">
              <w:rPr>
                <w:rFonts w:ascii="Arial" w:eastAsia="標楷體" w:hAnsi="Arial" w:cs="Arial"/>
                <w:szCs w:val="24"/>
              </w:rPr>
              <w:t>之</w:t>
            </w:r>
            <w:r w:rsidR="00B869B1" w:rsidRPr="004D146A">
              <w:rPr>
                <w:rFonts w:ascii="Arial" w:eastAsia="標楷體" w:hAnsi="Arial" w:cs="Arial"/>
                <w:szCs w:val="24"/>
              </w:rPr>
              <w:t>仿單</w:t>
            </w:r>
            <w:r w:rsidR="00B869B1" w:rsidRPr="004D146A">
              <w:rPr>
                <w:rFonts w:ascii="Arial" w:eastAsia="標楷體" w:hAnsi="Arial" w:cs="Arial"/>
                <w:szCs w:val="24"/>
                <w:shd w:val="clear" w:color="auto" w:fill="FFFFFF"/>
              </w:rPr>
              <w:t>，</w:t>
            </w:r>
            <w:r w:rsidR="007E4E35" w:rsidRPr="004D146A">
              <w:rPr>
                <w:rFonts w:ascii="Arial" w:eastAsia="標楷體" w:hAnsi="Arial" w:cs="Arial"/>
                <w:szCs w:val="24"/>
                <w:shd w:val="clear" w:color="auto" w:fill="FFFFFF"/>
              </w:rPr>
              <w:t>以加框警語</w:t>
            </w:r>
            <w:r w:rsidR="00B869B1" w:rsidRPr="004D146A">
              <w:rPr>
                <w:rFonts w:ascii="Arial" w:eastAsia="標楷體" w:hAnsi="Arial" w:cs="Arial"/>
                <w:szCs w:val="24"/>
                <w:shd w:val="clear" w:color="auto" w:fill="FFFFFF"/>
              </w:rPr>
              <w:t>提醒：</w:t>
            </w:r>
          </w:p>
          <w:p w:rsidR="00B869B1" w:rsidRPr="004D146A" w:rsidRDefault="001F71A4" w:rsidP="00737BC7">
            <w:pPr>
              <w:pStyle w:val="a9"/>
              <w:numPr>
                <w:ilvl w:val="1"/>
                <w:numId w:val="2"/>
              </w:numPr>
              <w:ind w:leftChars="0"/>
              <w:jc w:val="both"/>
              <w:rPr>
                <w:rFonts w:ascii="Arial" w:eastAsia="標楷體" w:hAnsi="Arial" w:cs="Arial"/>
                <w:szCs w:val="24"/>
              </w:rPr>
            </w:pPr>
            <w:r w:rsidRPr="004D146A">
              <w:rPr>
                <w:rFonts w:ascii="Arial" w:eastAsia="標楷體" w:hAnsi="Arial" w:cs="Arial"/>
                <w:bCs/>
                <w:szCs w:val="24"/>
              </w:rPr>
              <w:t>含</w:t>
            </w:r>
            <w:r w:rsidRPr="004D146A">
              <w:rPr>
                <w:rFonts w:ascii="Arial" w:eastAsia="標楷體" w:hAnsi="Arial" w:cs="Arial"/>
                <w:szCs w:val="24"/>
              </w:rPr>
              <w:t>h</w:t>
            </w:r>
            <w:r w:rsidR="00716195" w:rsidRPr="004D146A">
              <w:rPr>
                <w:rFonts w:ascii="Arial" w:eastAsia="標楷體" w:hAnsi="Arial" w:cs="Arial"/>
                <w:szCs w:val="24"/>
              </w:rPr>
              <w:t>uman immune globulin</w:t>
            </w:r>
            <w:r w:rsidR="00234014" w:rsidRPr="004D146A">
              <w:rPr>
                <w:rFonts w:ascii="Arial" w:eastAsia="標楷體" w:hAnsi="Arial" w:cs="Arial"/>
                <w:szCs w:val="24"/>
              </w:rPr>
              <w:t>成分</w:t>
            </w:r>
            <w:r w:rsidR="006F635B" w:rsidRPr="004D146A">
              <w:rPr>
                <w:rFonts w:ascii="Arial" w:eastAsia="標楷體" w:hAnsi="Arial" w:cs="Arial"/>
                <w:szCs w:val="24"/>
              </w:rPr>
              <w:t>藥品</w:t>
            </w:r>
            <w:r w:rsidR="00234014" w:rsidRPr="004D146A">
              <w:rPr>
                <w:rFonts w:ascii="Arial" w:eastAsia="標楷體" w:hAnsi="Arial" w:cs="Arial"/>
                <w:szCs w:val="24"/>
              </w:rPr>
              <w:t>可能引起血栓</w:t>
            </w:r>
            <w:r w:rsidR="00B869B1" w:rsidRPr="004D146A">
              <w:rPr>
                <w:rFonts w:ascii="Arial" w:eastAsia="標楷體" w:hAnsi="Arial" w:cs="Arial"/>
                <w:szCs w:val="24"/>
                <w:shd w:val="clear" w:color="auto" w:fill="FFFFFF"/>
              </w:rPr>
              <w:t>。</w:t>
            </w:r>
          </w:p>
          <w:p w:rsidR="00F549F8" w:rsidRPr="004D146A" w:rsidRDefault="00F46C03" w:rsidP="00737BC7">
            <w:pPr>
              <w:pStyle w:val="a9"/>
              <w:numPr>
                <w:ilvl w:val="1"/>
                <w:numId w:val="2"/>
              </w:numPr>
              <w:ind w:leftChars="0"/>
              <w:jc w:val="both"/>
              <w:rPr>
                <w:rFonts w:ascii="Arial" w:eastAsia="標楷體" w:hAnsi="Arial" w:cs="Arial"/>
                <w:szCs w:val="24"/>
              </w:rPr>
            </w:pPr>
            <w:r w:rsidRPr="004D146A">
              <w:rPr>
                <w:rFonts w:ascii="Arial" w:eastAsia="標楷體" w:hAnsi="Arial" w:cs="Arial"/>
                <w:szCs w:val="24"/>
                <w:shd w:val="clear" w:color="auto" w:fill="FFFFFF"/>
              </w:rPr>
              <w:t>血栓</w:t>
            </w:r>
            <w:r w:rsidR="00B869B1" w:rsidRPr="004D146A">
              <w:rPr>
                <w:rFonts w:ascii="Arial" w:eastAsia="標楷體" w:hAnsi="Arial" w:cs="Arial"/>
                <w:szCs w:val="24"/>
                <w:shd w:val="clear" w:color="auto" w:fill="FFFFFF"/>
              </w:rPr>
              <w:t>的危險因子</w:t>
            </w:r>
            <w:r w:rsidR="0012796A" w:rsidRPr="004D146A">
              <w:rPr>
                <w:rFonts w:ascii="Arial" w:eastAsia="標楷體" w:hAnsi="Arial" w:cs="Arial"/>
                <w:szCs w:val="24"/>
                <w:shd w:val="clear" w:color="auto" w:fill="FFFFFF"/>
              </w:rPr>
              <w:t>包括</w:t>
            </w:r>
            <w:r w:rsidR="00B869B1" w:rsidRPr="004D146A">
              <w:rPr>
                <w:rFonts w:ascii="Arial" w:eastAsia="標楷體" w:hAnsi="Arial" w:cs="Arial"/>
                <w:szCs w:val="24"/>
                <w:shd w:val="clear" w:color="auto" w:fill="FFFFFF"/>
              </w:rPr>
              <w:t>：</w:t>
            </w:r>
            <w:r w:rsidRPr="004D146A">
              <w:rPr>
                <w:rFonts w:ascii="Arial" w:eastAsia="標楷體" w:hAnsi="Arial" w:cs="Arial"/>
                <w:szCs w:val="24"/>
              </w:rPr>
              <w:t>高齡</w:t>
            </w:r>
            <w:r w:rsidR="002C0D8A" w:rsidRPr="004D146A">
              <w:rPr>
                <w:rFonts w:ascii="Arial" w:eastAsia="標楷體" w:hAnsi="Arial" w:cs="Arial"/>
                <w:szCs w:val="24"/>
              </w:rPr>
              <w:t>、</w:t>
            </w:r>
            <w:r w:rsidR="00266B92" w:rsidRPr="004D146A">
              <w:rPr>
                <w:rFonts w:ascii="Arial" w:eastAsia="標楷體" w:hAnsi="Arial" w:cs="Arial"/>
                <w:szCs w:val="24"/>
                <w:shd w:val="clear" w:color="auto" w:fill="FFFFFF"/>
              </w:rPr>
              <w:t>長時間</w:t>
            </w:r>
            <w:r w:rsidR="0040348B">
              <w:rPr>
                <w:rFonts w:ascii="Arial" w:eastAsia="標楷體" w:hAnsi="Arial" w:cs="Arial" w:hint="eastAsia"/>
                <w:szCs w:val="24"/>
                <w:shd w:val="clear" w:color="auto" w:fill="FFFFFF"/>
              </w:rPr>
              <w:t>不活動</w:t>
            </w:r>
            <w:r w:rsidR="002C0D8A" w:rsidRPr="004D146A">
              <w:rPr>
                <w:rFonts w:ascii="Arial" w:eastAsia="標楷體" w:hAnsi="Arial" w:cs="Arial"/>
                <w:szCs w:val="24"/>
              </w:rPr>
              <w:t>、</w:t>
            </w:r>
            <w:r w:rsidR="0012796A" w:rsidRPr="004D146A">
              <w:rPr>
                <w:rFonts w:ascii="Arial" w:eastAsia="標楷體" w:hAnsi="Arial" w:cs="Arial"/>
                <w:szCs w:val="24"/>
                <w:shd w:val="clear" w:color="auto" w:fill="FFFFFF"/>
              </w:rPr>
              <w:t>處於</w:t>
            </w:r>
            <w:r w:rsidR="0012796A" w:rsidRPr="004D146A">
              <w:rPr>
                <w:rFonts w:ascii="Arial" w:eastAsia="標楷體" w:hAnsi="Arial" w:cs="Arial"/>
                <w:szCs w:val="24"/>
              </w:rPr>
              <w:t>高凝血狀態、具有</w:t>
            </w:r>
            <w:r w:rsidR="00EA70F5" w:rsidRPr="004D146A">
              <w:rPr>
                <w:rFonts w:ascii="Arial" w:eastAsia="標楷體" w:hAnsi="Arial" w:cs="Arial"/>
                <w:szCs w:val="24"/>
              </w:rPr>
              <w:t>靜脈</w:t>
            </w:r>
            <w:r w:rsidR="00AF3FB2" w:rsidRPr="004D146A">
              <w:rPr>
                <w:rFonts w:ascii="Arial" w:eastAsia="標楷體" w:hAnsi="Arial" w:cs="Arial"/>
                <w:szCs w:val="24"/>
              </w:rPr>
              <w:t>或</w:t>
            </w:r>
            <w:r w:rsidR="0012796A" w:rsidRPr="004D146A">
              <w:rPr>
                <w:rFonts w:ascii="Arial" w:eastAsia="標楷體" w:hAnsi="Arial" w:cs="Arial"/>
                <w:szCs w:val="24"/>
              </w:rPr>
              <w:t>動脈</w:t>
            </w:r>
            <w:r w:rsidR="0012796A" w:rsidRPr="004D146A">
              <w:rPr>
                <w:rFonts w:ascii="Arial" w:eastAsia="標楷體" w:hAnsi="Arial" w:cs="Arial"/>
                <w:szCs w:val="24"/>
                <w:shd w:val="clear" w:color="auto" w:fill="FFFFFF"/>
              </w:rPr>
              <w:t>血栓病史、使用雌激素、留置中央靜脈導管、</w:t>
            </w:r>
            <w:r w:rsidR="00AF3FB2" w:rsidRPr="004D146A">
              <w:rPr>
                <w:rFonts w:ascii="Arial" w:eastAsia="標楷體" w:hAnsi="Arial" w:cs="Arial"/>
                <w:szCs w:val="24"/>
              </w:rPr>
              <w:t>血液高度黏</w:t>
            </w:r>
            <w:r w:rsidR="00EA70F5" w:rsidRPr="004D146A">
              <w:rPr>
                <w:rFonts w:ascii="Arial" w:eastAsia="標楷體" w:hAnsi="Arial" w:cs="Arial"/>
                <w:szCs w:val="24"/>
              </w:rPr>
              <w:t>稠及</w:t>
            </w:r>
            <w:r w:rsidR="0012796A" w:rsidRPr="004D146A">
              <w:rPr>
                <w:rFonts w:ascii="Arial" w:eastAsia="標楷體" w:hAnsi="Arial" w:cs="Arial"/>
                <w:szCs w:val="24"/>
              </w:rPr>
              <w:t>有心血管</w:t>
            </w:r>
            <w:r w:rsidR="00EA70F5" w:rsidRPr="004D146A">
              <w:rPr>
                <w:rFonts w:ascii="Arial" w:eastAsia="標楷體" w:hAnsi="Arial" w:cs="Arial"/>
                <w:szCs w:val="24"/>
              </w:rPr>
              <w:t>危</w:t>
            </w:r>
            <w:r w:rsidR="00AF3FB2" w:rsidRPr="004D146A">
              <w:rPr>
                <w:rFonts w:ascii="Arial" w:eastAsia="標楷體" w:hAnsi="Arial" w:cs="Arial"/>
                <w:szCs w:val="24"/>
              </w:rPr>
              <w:t>險因子</w:t>
            </w:r>
            <w:r w:rsidR="0012796A" w:rsidRPr="004D146A">
              <w:rPr>
                <w:rFonts w:ascii="Arial" w:eastAsia="標楷體" w:hAnsi="Arial" w:cs="Arial"/>
                <w:szCs w:val="24"/>
              </w:rPr>
              <w:t>。</w:t>
            </w:r>
          </w:p>
          <w:p w:rsidR="00AE3D73" w:rsidRPr="004D146A" w:rsidRDefault="001200CD" w:rsidP="00737BC7">
            <w:pPr>
              <w:pStyle w:val="a9"/>
              <w:numPr>
                <w:ilvl w:val="1"/>
                <w:numId w:val="2"/>
              </w:numPr>
              <w:ind w:leftChars="0"/>
              <w:jc w:val="both"/>
              <w:rPr>
                <w:rFonts w:ascii="Arial" w:eastAsia="標楷體" w:hAnsi="Arial" w:cs="Arial"/>
                <w:szCs w:val="24"/>
              </w:rPr>
            </w:pPr>
            <w:r w:rsidRPr="004D146A">
              <w:rPr>
                <w:rFonts w:ascii="Arial" w:eastAsia="標楷體" w:hAnsi="Arial" w:cs="Arial"/>
                <w:szCs w:val="24"/>
              </w:rPr>
              <w:t>無</w:t>
            </w:r>
            <w:r w:rsidR="00FD01EE" w:rsidRPr="004D146A">
              <w:rPr>
                <w:rFonts w:ascii="Arial" w:eastAsia="標楷體" w:hAnsi="Arial" w:cs="Arial"/>
                <w:szCs w:val="24"/>
              </w:rPr>
              <w:t>已知血栓</w:t>
            </w:r>
            <w:r w:rsidR="005C39B1" w:rsidRPr="004D146A">
              <w:rPr>
                <w:rFonts w:ascii="Arial" w:eastAsia="標楷體" w:hAnsi="Arial" w:cs="Arial"/>
                <w:szCs w:val="24"/>
              </w:rPr>
              <w:t>危險因子者</w:t>
            </w:r>
            <w:r w:rsidRPr="004D146A">
              <w:rPr>
                <w:rFonts w:ascii="Arial" w:eastAsia="標楷體" w:hAnsi="Arial" w:cs="Arial"/>
                <w:szCs w:val="24"/>
              </w:rPr>
              <w:t>亦</w:t>
            </w:r>
            <w:r w:rsidR="005C39B1" w:rsidRPr="004D146A">
              <w:rPr>
                <w:rFonts w:ascii="Arial" w:eastAsia="標楷體" w:hAnsi="Arial" w:cs="Arial"/>
                <w:szCs w:val="24"/>
              </w:rPr>
              <w:t>可能</w:t>
            </w:r>
            <w:r w:rsidR="00FD01EE" w:rsidRPr="004D146A">
              <w:rPr>
                <w:rFonts w:ascii="Arial" w:eastAsia="標楷體" w:hAnsi="Arial" w:cs="Arial"/>
                <w:szCs w:val="24"/>
              </w:rPr>
              <w:t>發生</w:t>
            </w:r>
            <w:r w:rsidR="005C39B1" w:rsidRPr="004D146A">
              <w:rPr>
                <w:rFonts w:ascii="Arial" w:eastAsia="標楷體" w:hAnsi="Arial" w:cs="Arial"/>
                <w:szCs w:val="24"/>
              </w:rPr>
              <w:t>血栓。</w:t>
            </w:r>
          </w:p>
          <w:p w:rsidR="00234014" w:rsidRPr="004D146A" w:rsidRDefault="00FD01EE" w:rsidP="00737BC7">
            <w:pPr>
              <w:pStyle w:val="a9"/>
              <w:numPr>
                <w:ilvl w:val="1"/>
                <w:numId w:val="2"/>
              </w:numPr>
              <w:ind w:leftChars="0"/>
              <w:jc w:val="both"/>
              <w:rPr>
                <w:rFonts w:ascii="Arial" w:eastAsia="標楷體" w:hAnsi="Arial" w:cs="Arial"/>
                <w:szCs w:val="24"/>
              </w:rPr>
            </w:pPr>
            <w:r w:rsidRPr="004D146A">
              <w:rPr>
                <w:rFonts w:ascii="Arial" w:eastAsia="標楷體" w:hAnsi="Arial" w:cs="Arial"/>
                <w:szCs w:val="24"/>
              </w:rPr>
              <w:t>具</w:t>
            </w:r>
            <w:r w:rsidR="000757BC" w:rsidRPr="004D146A">
              <w:rPr>
                <w:rFonts w:ascii="Arial" w:eastAsia="標楷體" w:hAnsi="Arial" w:cs="Arial"/>
                <w:szCs w:val="24"/>
              </w:rPr>
              <w:t>血栓風險</w:t>
            </w:r>
            <w:r w:rsidR="001200CD" w:rsidRPr="004D146A">
              <w:rPr>
                <w:rFonts w:ascii="Arial" w:eastAsia="標楷體" w:hAnsi="Arial" w:cs="Arial"/>
                <w:szCs w:val="24"/>
              </w:rPr>
              <w:t>的病人</w:t>
            </w:r>
            <w:r w:rsidR="000A1FFD" w:rsidRPr="004D146A">
              <w:rPr>
                <w:rFonts w:ascii="Arial" w:eastAsia="標楷體" w:hAnsi="Arial" w:cs="Arial"/>
                <w:szCs w:val="24"/>
              </w:rPr>
              <w:t>，應以最</w:t>
            </w:r>
            <w:r w:rsidR="001200CD" w:rsidRPr="004D146A">
              <w:rPr>
                <w:rFonts w:ascii="Arial" w:eastAsia="標楷體" w:hAnsi="Arial" w:cs="Arial"/>
                <w:szCs w:val="24"/>
              </w:rPr>
              <w:t>低有效</w:t>
            </w:r>
            <w:r w:rsidR="000A1FFD" w:rsidRPr="004D146A">
              <w:rPr>
                <w:rFonts w:ascii="Arial" w:eastAsia="標楷體" w:hAnsi="Arial" w:cs="Arial"/>
                <w:szCs w:val="24"/>
              </w:rPr>
              <w:t>劑量</w:t>
            </w:r>
            <w:r w:rsidR="001200CD" w:rsidRPr="004D146A">
              <w:rPr>
                <w:rFonts w:ascii="Arial" w:eastAsia="標楷體" w:hAnsi="Arial" w:cs="Arial"/>
                <w:szCs w:val="24"/>
              </w:rPr>
              <w:t>及</w:t>
            </w:r>
            <w:r w:rsidR="0040348B">
              <w:rPr>
                <w:rFonts w:ascii="Arial" w:eastAsia="標楷體" w:hAnsi="Arial" w:cs="Arial" w:hint="eastAsia"/>
                <w:szCs w:val="24"/>
              </w:rPr>
              <w:t>適當的最小</w:t>
            </w:r>
            <w:r w:rsidR="000757BC" w:rsidRPr="004D146A">
              <w:rPr>
                <w:rFonts w:ascii="Arial" w:eastAsia="標楷體" w:hAnsi="Arial" w:cs="Arial"/>
                <w:szCs w:val="24"/>
              </w:rPr>
              <w:t>輸注速率</w:t>
            </w:r>
            <w:r w:rsidR="001200CD" w:rsidRPr="004D146A">
              <w:rPr>
                <w:rFonts w:ascii="Arial" w:eastAsia="標楷體" w:hAnsi="Arial" w:cs="Arial"/>
                <w:szCs w:val="24"/>
              </w:rPr>
              <w:t>投</w:t>
            </w:r>
            <w:r w:rsidR="000757BC" w:rsidRPr="004D146A">
              <w:rPr>
                <w:rFonts w:ascii="Arial" w:eastAsia="標楷體" w:hAnsi="Arial" w:cs="Arial"/>
                <w:szCs w:val="24"/>
              </w:rPr>
              <w:t>予</w:t>
            </w:r>
            <w:r w:rsidR="001F71A4" w:rsidRPr="004D146A">
              <w:rPr>
                <w:rFonts w:ascii="Arial" w:eastAsia="標楷體" w:hAnsi="Arial" w:cs="Arial"/>
                <w:bCs/>
                <w:szCs w:val="24"/>
              </w:rPr>
              <w:t>含</w:t>
            </w:r>
            <w:r w:rsidR="00716195" w:rsidRPr="004D146A">
              <w:rPr>
                <w:rFonts w:ascii="Arial" w:eastAsia="標楷體" w:hAnsi="Arial" w:cs="Arial"/>
                <w:szCs w:val="24"/>
              </w:rPr>
              <w:t>human immune globulin</w:t>
            </w:r>
            <w:r w:rsidR="001200CD" w:rsidRPr="004D146A">
              <w:rPr>
                <w:rFonts w:ascii="Arial" w:eastAsia="標楷體" w:hAnsi="Arial" w:cs="Arial"/>
                <w:szCs w:val="24"/>
              </w:rPr>
              <w:t>成分藥品</w:t>
            </w:r>
            <w:r w:rsidR="000A1FFD" w:rsidRPr="004D146A">
              <w:rPr>
                <w:rFonts w:ascii="Arial" w:eastAsia="標楷體" w:hAnsi="Arial" w:cs="Arial"/>
                <w:szCs w:val="24"/>
              </w:rPr>
              <w:t>。</w:t>
            </w:r>
          </w:p>
          <w:p w:rsidR="00E05CCE" w:rsidRPr="004D146A" w:rsidRDefault="00246B06" w:rsidP="00737BC7">
            <w:pPr>
              <w:pStyle w:val="a9"/>
              <w:numPr>
                <w:ilvl w:val="1"/>
                <w:numId w:val="2"/>
              </w:numPr>
              <w:ind w:leftChars="0"/>
              <w:jc w:val="both"/>
              <w:rPr>
                <w:rFonts w:ascii="Arial" w:eastAsia="標楷體" w:hAnsi="Arial" w:cs="Arial"/>
                <w:szCs w:val="24"/>
              </w:rPr>
            </w:pPr>
            <w:r w:rsidRPr="004D146A">
              <w:rPr>
                <w:rFonts w:ascii="Arial" w:eastAsia="標楷體" w:hAnsi="Arial" w:cs="Arial"/>
                <w:szCs w:val="24"/>
              </w:rPr>
              <w:t>投予前應確保病人有足</w:t>
            </w:r>
            <w:r w:rsidR="0040348B">
              <w:rPr>
                <w:rFonts w:ascii="Arial" w:eastAsia="標楷體" w:hAnsi="Arial" w:cs="Arial" w:hint="eastAsia"/>
                <w:szCs w:val="24"/>
              </w:rPr>
              <w:t>夠</w:t>
            </w:r>
            <w:r w:rsidRPr="004D146A">
              <w:rPr>
                <w:rFonts w:ascii="Arial" w:eastAsia="標楷體" w:hAnsi="Arial" w:cs="Arial"/>
                <w:szCs w:val="24"/>
              </w:rPr>
              <w:t>的</w:t>
            </w:r>
            <w:r w:rsidR="0040348B">
              <w:rPr>
                <w:rFonts w:ascii="Arial" w:eastAsia="標楷體" w:hAnsi="Arial" w:cs="Arial" w:hint="eastAsia"/>
                <w:szCs w:val="24"/>
              </w:rPr>
              <w:t>水分</w:t>
            </w:r>
            <w:r w:rsidRPr="004D146A">
              <w:rPr>
                <w:rFonts w:ascii="Arial" w:eastAsia="標楷體" w:hAnsi="Arial" w:cs="Arial"/>
                <w:szCs w:val="24"/>
              </w:rPr>
              <w:t>。</w:t>
            </w:r>
          </w:p>
          <w:p w:rsidR="00D53DA8" w:rsidRPr="0040348B" w:rsidRDefault="00EF75BE" w:rsidP="00737BC7">
            <w:pPr>
              <w:pStyle w:val="a9"/>
              <w:numPr>
                <w:ilvl w:val="1"/>
                <w:numId w:val="2"/>
              </w:numPr>
              <w:ind w:leftChars="0"/>
              <w:jc w:val="both"/>
              <w:rPr>
                <w:rFonts w:ascii="Arial" w:eastAsia="標楷體" w:hAnsi="Arial" w:cs="Arial"/>
                <w:szCs w:val="24"/>
              </w:rPr>
            </w:pPr>
            <w:r w:rsidRPr="004D146A">
              <w:rPr>
                <w:rFonts w:ascii="Arial" w:eastAsia="標楷體" w:hAnsi="Arial" w:cs="Arial"/>
                <w:szCs w:val="24"/>
              </w:rPr>
              <w:t>具血液高度黏稠風險的病人，應監測血栓相關</w:t>
            </w:r>
            <w:r w:rsidR="0040348B">
              <w:rPr>
                <w:rFonts w:ascii="Arial" w:eastAsia="標楷體" w:hAnsi="Arial" w:cs="Arial" w:hint="eastAsia"/>
                <w:szCs w:val="24"/>
              </w:rPr>
              <w:t>徵兆及</w:t>
            </w:r>
            <w:r w:rsidRPr="004D146A">
              <w:rPr>
                <w:rFonts w:ascii="Arial" w:eastAsia="標楷體" w:hAnsi="Arial" w:cs="Arial"/>
                <w:szCs w:val="24"/>
              </w:rPr>
              <w:t>症狀並評估血液之黏稠度。</w:t>
            </w:r>
          </w:p>
        </w:tc>
      </w:tr>
      <w:tr w:rsidR="007E4E35" w:rsidRPr="004D146A" w:rsidTr="00E3049D">
        <w:trPr>
          <w:trHeight w:val="5216"/>
          <w:jc w:val="center"/>
        </w:trPr>
        <w:tc>
          <w:tcPr>
            <w:tcW w:w="1795" w:type="dxa"/>
            <w:vAlign w:val="center"/>
          </w:tcPr>
          <w:p w:rsidR="00E3049D" w:rsidRPr="004D146A" w:rsidRDefault="00E3049D" w:rsidP="00EE23F5">
            <w:pPr>
              <w:jc w:val="center"/>
              <w:rPr>
                <w:rFonts w:ascii="Arial" w:eastAsia="標楷體" w:hAnsi="Arial" w:cs="Arial"/>
                <w:szCs w:val="24"/>
              </w:rPr>
            </w:pPr>
            <w:r w:rsidRPr="004D146A">
              <w:rPr>
                <w:rFonts w:ascii="Arial" w:eastAsia="標楷體" w:hAnsi="Arial" w:cs="Arial"/>
                <w:szCs w:val="24"/>
              </w:rPr>
              <w:lastRenderedPageBreak/>
              <w:t>TFDA</w:t>
            </w:r>
          </w:p>
          <w:p w:rsidR="00E3049D" w:rsidRPr="004D146A" w:rsidRDefault="00E3049D" w:rsidP="00EE23F5">
            <w:pPr>
              <w:jc w:val="center"/>
              <w:rPr>
                <w:rFonts w:ascii="Arial" w:eastAsia="標楷體" w:hAnsi="Arial" w:cs="Arial"/>
                <w:szCs w:val="24"/>
              </w:rPr>
            </w:pPr>
            <w:r w:rsidRPr="004D146A">
              <w:rPr>
                <w:rFonts w:ascii="Arial" w:eastAsia="標楷體" w:hAnsi="Arial" w:cs="Arial"/>
                <w:szCs w:val="24"/>
              </w:rPr>
              <w:t>風險溝通說明</w:t>
            </w:r>
          </w:p>
        </w:tc>
        <w:tc>
          <w:tcPr>
            <w:tcW w:w="8682" w:type="dxa"/>
          </w:tcPr>
          <w:p w:rsidR="00E3049D" w:rsidRPr="004D146A" w:rsidRDefault="00E3049D" w:rsidP="007E4E35">
            <w:pPr>
              <w:pStyle w:val="a9"/>
              <w:widowControl/>
              <w:numPr>
                <w:ilvl w:val="0"/>
                <w:numId w:val="1"/>
              </w:numPr>
              <w:ind w:leftChars="0"/>
              <w:rPr>
                <w:rFonts w:ascii="Arial" w:eastAsia="標楷體" w:hAnsi="Arial" w:cs="Arial"/>
                <w:szCs w:val="24"/>
              </w:rPr>
            </w:pPr>
            <w:r w:rsidRPr="004D146A">
              <w:rPr>
                <w:rFonts w:ascii="Arial" w:eastAsia="標楷體" w:hAnsi="Arial" w:cs="Arial"/>
                <w:szCs w:val="24"/>
              </w:rPr>
              <w:t>食品藥物管理署說明：</w:t>
            </w:r>
          </w:p>
          <w:p w:rsidR="007E4E35" w:rsidRPr="004D146A" w:rsidRDefault="007E4E35" w:rsidP="00737BC7">
            <w:pPr>
              <w:pStyle w:val="a9"/>
              <w:widowControl/>
              <w:numPr>
                <w:ilvl w:val="0"/>
                <w:numId w:val="4"/>
              </w:numPr>
              <w:ind w:leftChars="0"/>
              <w:rPr>
                <w:rStyle w:val="ac"/>
                <w:rFonts w:ascii="Arial" w:eastAsia="標楷體" w:hAnsi="Arial" w:cs="Arial"/>
                <w:b w:val="0"/>
                <w:bCs w:val="0"/>
                <w:szCs w:val="24"/>
              </w:rPr>
            </w:pPr>
            <w:r w:rsidRPr="004D146A">
              <w:rPr>
                <w:rFonts w:ascii="Arial" w:eastAsia="標楷體" w:hAnsi="Arial" w:cs="Arial"/>
                <w:szCs w:val="24"/>
              </w:rPr>
              <w:t>經查，我國核准之</w:t>
            </w:r>
            <w:r w:rsidRPr="004D146A">
              <w:rPr>
                <w:rFonts w:ascii="Arial" w:eastAsia="標楷體" w:hAnsi="Arial" w:cs="Arial"/>
                <w:bCs/>
                <w:szCs w:val="24"/>
              </w:rPr>
              <w:t>中文仿單部分已刊載</w:t>
            </w:r>
            <w:r w:rsidRPr="004D146A">
              <w:rPr>
                <w:rStyle w:val="ac"/>
                <w:rFonts w:ascii="Arial" w:eastAsia="標楷體" w:hAnsi="Arial" w:cs="Arial"/>
                <w:b w:val="0"/>
                <w:bCs w:val="0"/>
                <w:szCs w:val="24"/>
                <w:bdr w:val="none" w:sz="0" w:space="0" w:color="auto" w:frame="1"/>
              </w:rPr>
              <w:t>血栓性栓塞之不良反應相關內容，</w:t>
            </w:r>
            <w:r w:rsidRPr="004D146A">
              <w:rPr>
                <w:rStyle w:val="ac"/>
                <w:rFonts w:ascii="Arial" w:eastAsia="標楷體" w:hAnsi="Arial" w:cs="Arial"/>
                <w:b w:val="0"/>
                <w:szCs w:val="24"/>
                <w:bdr w:val="none" w:sz="0" w:space="0" w:color="auto" w:frame="1"/>
              </w:rPr>
              <w:t>然尚未</w:t>
            </w:r>
            <w:r w:rsidRPr="004D146A">
              <w:rPr>
                <w:rFonts w:ascii="Arial" w:eastAsia="標楷體" w:hAnsi="Arial" w:cs="Arial"/>
                <w:szCs w:val="24"/>
                <w:shd w:val="clear" w:color="auto" w:fill="FFFFFF"/>
              </w:rPr>
              <w:t>以加框警語提醒</w:t>
            </w:r>
            <w:r w:rsidRPr="004D146A">
              <w:rPr>
                <w:rStyle w:val="ac"/>
                <w:rFonts w:ascii="Arial" w:eastAsia="標楷體" w:hAnsi="Arial" w:cs="Arial"/>
                <w:b w:val="0"/>
                <w:bCs w:val="0"/>
                <w:szCs w:val="24"/>
                <w:bdr w:val="none" w:sz="0" w:space="0" w:color="auto" w:frame="1"/>
              </w:rPr>
              <w:t>。</w:t>
            </w:r>
          </w:p>
          <w:p w:rsidR="00E3049D" w:rsidRPr="004D146A" w:rsidRDefault="007E4E35" w:rsidP="00737BC7">
            <w:pPr>
              <w:pStyle w:val="a9"/>
              <w:widowControl/>
              <w:numPr>
                <w:ilvl w:val="0"/>
                <w:numId w:val="4"/>
              </w:numPr>
              <w:ind w:leftChars="0"/>
              <w:rPr>
                <w:rFonts w:ascii="Arial" w:eastAsia="標楷體" w:hAnsi="Arial" w:cs="Arial"/>
                <w:szCs w:val="24"/>
              </w:rPr>
            </w:pPr>
            <w:r w:rsidRPr="004D146A">
              <w:rPr>
                <w:rStyle w:val="ac"/>
                <w:rFonts w:ascii="Arial" w:eastAsia="標楷體" w:hAnsi="Arial" w:cs="Arial"/>
                <w:b w:val="0"/>
                <w:bCs w:val="0"/>
                <w:szCs w:val="24"/>
                <w:bdr w:val="none" w:sz="0" w:space="0" w:color="auto" w:frame="1"/>
              </w:rPr>
              <w:t>本署將詳審是否修訂我國中文仿單內容，必要時啟動再評估。</w:t>
            </w:r>
          </w:p>
          <w:p w:rsidR="00E3049D" w:rsidRPr="004D146A" w:rsidRDefault="00E3049D" w:rsidP="007E4E35">
            <w:pPr>
              <w:pStyle w:val="Web"/>
              <w:numPr>
                <w:ilvl w:val="0"/>
                <w:numId w:val="1"/>
              </w:numPr>
              <w:spacing w:before="0" w:beforeAutospacing="0" w:after="0" w:afterAutospacing="0" w:line="400" w:lineRule="exact"/>
              <w:rPr>
                <w:rFonts w:ascii="Arial" w:eastAsia="標楷體" w:hAnsi="Arial" w:cs="Arial"/>
              </w:rPr>
            </w:pPr>
            <w:r w:rsidRPr="004D146A">
              <w:rPr>
                <w:rFonts w:ascii="Arial" w:eastAsia="標楷體" w:hAnsi="Arial" w:cs="Arial"/>
                <w:bCs/>
                <w:u w:val="single"/>
              </w:rPr>
              <w:t>醫療人員</w:t>
            </w:r>
            <w:r w:rsidRPr="004D146A">
              <w:rPr>
                <w:rFonts w:ascii="Arial" w:eastAsia="標楷體" w:hAnsi="Arial" w:cs="Arial"/>
              </w:rPr>
              <w:t>應注意事項：</w:t>
            </w:r>
          </w:p>
          <w:p w:rsidR="007E4E35" w:rsidRPr="004D146A" w:rsidRDefault="00E3049D" w:rsidP="00737BC7">
            <w:pPr>
              <w:pStyle w:val="Web"/>
              <w:numPr>
                <w:ilvl w:val="0"/>
                <w:numId w:val="5"/>
              </w:numPr>
              <w:spacing w:before="0" w:beforeAutospacing="0" w:after="0" w:afterAutospacing="0" w:line="400" w:lineRule="exact"/>
              <w:rPr>
                <w:rFonts w:ascii="Arial" w:eastAsia="標楷體" w:hAnsi="Arial" w:cs="Arial"/>
              </w:rPr>
            </w:pPr>
            <w:r w:rsidRPr="004D146A">
              <w:rPr>
                <w:rFonts w:ascii="Arial" w:eastAsia="標楷體" w:hAnsi="Arial" w:cs="Arial"/>
              </w:rPr>
              <w:t>應警覺</w:t>
            </w:r>
            <w:r w:rsidR="001F71A4" w:rsidRPr="004D146A">
              <w:rPr>
                <w:rFonts w:ascii="Arial" w:eastAsia="標楷體" w:hAnsi="Arial" w:cs="Arial"/>
                <w:bCs/>
              </w:rPr>
              <w:t>含</w:t>
            </w:r>
            <w:r w:rsidRPr="004D146A">
              <w:rPr>
                <w:rFonts w:ascii="Arial" w:eastAsia="標楷體" w:hAnsi="Arial" w:cs="Arial"/>
              </w:rPr>
              <w:t>human immune globulin</w:t>
            </w:r>
            <w:r w:rsidRPr="004D146A">
              <w:rPr>
                <w:rFonts w:ascii="Arial" w:eastAsia="標楷體" w:hAnsi="Arial" w:cs="Arial"/>
              </w:rPr>
              <w:t>成分藥品具有血栓風險，並與病人討論之。</w:t>
            </w:r>
          </w:p>
          <w:p w:rsidR="007E4E35" w:rsidRPr="004D146A" w:rsidRDefault="00E3049D" w:rsidP="00737BC7">
            <w:pPr>
              <w:pStyle w:val="Web"/>
              <w:numPr>
                <w:ilvl w:val="0"/>
                <w:numId w:val="5"/>
              </w:numPr>
              <w:spacing w:before="0" w:beforeAutospacing="0" w:after="0" w:afterAutospacing="0" w:line="400" w:lineRule="exact"/>
              <w:rPr>
                <w:rFonts w:ascii="Arial" w:eastAsia="標楷體" w:hAnsi="Arial" w:cs="Arial"/>
                <w:spacing w:val="-2"/>
              </w:rPr>
            </w:pPr>
            <w:r w:rsidRPr="004D146A">
              <w:rPr>
                <w:rFonts w:ascii="Arial" w:eastAsia="標楷體" w:hAnsi="Arial" w:cs="Arial"/>
                <w:spacing w:val="-2"/>
              </w:rPr>
              <w:t>使用</w:t>
            </w:r>
            <w:r w:rsidR="001F71A4" w:rsidRPr="004D146A">
              <w:rPr>
                <w:rFonts w:ascii="Arial" w:eastAsia="標楷體" w:hAnsi="Arial" w:cs="Arial"/>
                <w:bCs/>
                <w:spacing w:val="-2"/>
              </w:rPr>
              <w:t>含</w:t>
            </w:r>
            <w:r w:rsidRPr="004D146A">
              <w:rPr>
                <w:rFonts w:ascii="Arial" w:eastAsia="標楷體" w:hAnsi="Arial" w:cs="Arial"/>
                <w:spacing w:val="-2"/>
              </w:rPr>
              <w:t>human immune globulin</w:t>
            </w:r>
            <w:r w:rsidRPr="004D146A">
              <w:rPr>
                <w:rFonts w:ascii="Arial" w:eastAsia="標楷體" w:hAnsi="Arial" w:cs="Arial"/>
                <w:spacing w:val="-2"/>
              </w:rPr>
              <w:t>成分藥品治療時，應謹慎地考量病人的危險因子。</w:t>
            </w:r>
          </w:p>
          <w:p w:rsidR="00E3049D" w:rsidRPr="004D146A" w:rsidRDefault="00E3049D" w:rsidP="00737BC7">
            <w:pPr>
              <w:pStyle w:val="Web"/>
              <w:numPr>
                <w:ilvl w:val="0"/>
                <w:numId w:val="5"/>
              </w:numPr>
              <w:spacing w:before="0" w:beforeAutospacing="0" w:after="0" w:afterAutospacing="0" w:line="400" w:lineRule="exact"/>
              <w:rPr>
                <w:rFonts w:ascii="Arial" w:eastAsia="標楷體" w:hAnsi="Arial" w:cs="Arial"/>
              </w:rPr>
            </w:pPr>
            <w:r w:rsidRPr="004D146A">
              <w:rPr>
                <w:rFonts w:ascii="Arial" w:eastAsia="標楷體" w:hAnsi="Arial" w:cs="Arial"/>
              </w:rPr>
              <w:t>輸注時及輸注後，皆應小心地監測病人是否出現血栓相關</w:t>
            </w:r>
            <w:r w:rsidR="0040348B">
              <w:rPr>
                <w:rFonts w:ascii="Arial" w:eastAsia="標楷體" w:hAnsi="Arial" w:cs="Arial" w:hint="eastAsia"/>
              </w:rPr>
              <w:t>徵兆及</w:t>
            </w:r>
            <w:r w:rsidRPr="004D146A">
              <w:rPr>
                <w:rFonts w:ascii="Arial" w:eastAsia="標楷體" w:hAnsi="Arial" w:cs="Arial"/>
              </w:rPr>
              <w:t>症狀，並鼓勵病人通報任何</w:t>
            </w:r>
            <w:r w:rsidR="0040348B">
              <w:rPr>
                <w:rFonts w:ascii="Arial" w:eastAsia="標楷體" w:hAnsi="Arial" w:cs="Arial" w:hint="eastAsia"/>
              </w:rPr>
              <w:t>徵兆及</w:t>
            </w:r>
            <w:r w:rsidRPr="004D146A">
              <w:rPr>
                <w:rFonts w:ascii="Arial" w:eastAsia="標楷體" w:hAnsi="Arial" w:cs="Arial"/>
              </w:rPr>
              <w:t>症狀。</w:t>
            </w:r>
          </w:p>
          <w:p w:rsidR="00E3049D" w:rsidRPr="004D146A" w:rsidRDefault="00E3049D" w:rsidP="007E4E35">
            <w:pPr>
              <w:pStyle w:val="Web"/>
              <w:numPr>
                <w:ilvl w:val="0"/>
                <w:numId w:val="1"/>
              </w:numPr>
              <w:spacing w:before="0" w:beforeAutospacing="0" w:after="0" w:afterAutospacing="0" w:line="400" w:lineRule="exact"/>
              <w:rPr>
                <w:rFonts w:ascii="Arial" w:eastAsia="標楷體" w:hAnsi="Arial" w:cs="Arial"/>
              </w:rPr>
            </w:pPr>
            <w:r w:rsidRPr="004D146A">
              <w:rPr>
                <w:rFonts w:ascii="Arial" w:eastAsia="標楷體" w:hAnsi="Arial" w:cs="Arial"/>
                <w:bCs/>
                <w:u w:val="single"/>
              </w:rPr>
              <w:t>病人</w:t>
            </w:r>
            <w:r w:rsidRPr="004D146A">
              <w:rPr>
                <w:rFonts w:ascii="Arial" w:eastAsia="標楷體" w:hAnsi="Arial" w:cs="Arial"/>
              </w:rPr>
              <w:t>應注意事項：</w:t>
            </w:r>
          </w:p>
          <w:p w:rsidR="007E4E35" w:rsidRPr="004D146A" w:rsidRDefault="00E3049D" w:rsidP="00737BC7">
            <w:pPr>
              <w:pStyle w:val="Web"/>
              <w:numPr>
                <w:ilvl w:val="0"/>
                <w:numId w:val="6"/>
              </w:numPr>
              <w:spacing w:before="0" w:beforeAutospacing="0" w:after="0" w:afterAutospacing="0" w:line="400" w:lineRule="exact"/>
              <w:rPr>
                <w:rFonts w:ascii="Arial" w:eastAsia="標楷體" w:hAnsi="Arial" w:cs="Arial"/>
              </w:rPr>
            </w:pPr>
            <w:r w:rsidRPr="004D146A">
              <w:rPr>
                <w:rFonts w:ascii="Arial" w:eastAsia="標楷體" w:hAnsi="Arial" w:cs="Arial"/>
              </w:rPr>
              <w:t>應警覺</w:t>
            </w:r>
            <w:r w:rsidR="001F71A4" w:rsidRPr="004D146A">
              <w:rPr>
                <w:rFonts w:ascii="Arial" w:eastAsia="標楷體" w:hAnsi="Arial" w:cs="Arial"/>
                <w:bCs/>
              </w:rPr>
              <w:t>含</w:t>
            </w:r>
            <w:r w:rsidRPr="004D146A">
              <w:rPr>
                <w:rFonts w:ascii="Arial" w:eastAsia="標楷體" w:hAnsi="Arial" w:cs="Arial"/>
              </w:rPr>
              <w:t>human immune globulin</w:t>
            </w:r>
            <w:r w:rsidRPr="004D146A">
              <w:rPr>
                <w:rFonts w:ascii="Arial" w:eastAsia="標楷體" w:hAnsi="Arial" w:cs="Arial"/>
              </w:rPr>
              <w:t>成分藥品具有血栓風險。</w:t>
            </w:r>
          </w:p>
          <w:p w:rsidR="007E4E35" w:rsidRPr="004D146A" w:rsidRDefault="00E3049D" w:rsidP="00737BC7">
            <w:pPr>
              <w:pStyle w:val="Web"/>
              <w:numPr>
                <w:ilvl w:val="0"/>
                <w:numId w:val="6"/>
              </w:numPr>
              <w:spacing w:before="0" w:beforeAutospacing="0" w:after="0" w:afterAutospacing="0" w:line="400" w:lineRule="exact"/>
              <w:rPr>
                <w:rFonts w:ascii="Arial" w:eastAsia="標楷體" w:hAnsi="Arial" w:cs="Arial"/>
              </w:rPr>
            </w:pPr>
            <w:r w:rsidRPr="004D146A">
              <w:rPr>
                <w:rFonts w:ascii="Arial" w:eastAsia="標楷體" w:hAnsi="Arial" w:cs="Arial"/>
              </w:rPr>
              <w:t>若有血栓相關危險因子，應於開始使用</w:t>
            </w:r>
            <w:r w:rsidR="001F71A4" w:rsidRPr="004D146A">
              <w:rPr>
                <w:rFonts w:ascii="Arial" w:eastAsia="標楷體" w:hAnsi="Arial" w:cs="Arial"/>
                <w:bCs/>
              </w:rPr>
              <w:t>含</w:t>
            </w:r>
            <w:r w:rsidRPr="004D146A">
              <w:rPr>
                <w:rFonts w:ascii="Arial" w:eastAsia="標楷體" w:hAnsi="Arial" w:cs="Arial"/>
              </w:rPr>
              <w:t>human immune globulin</w:t>
            </w:r>
            <w:r w:rsidRPr="004D146A">
              <w:rPr>
                <w:rFonts w:ascii="Arial" w:eastAsia="標楷體" w:hAnsi="Arial" w:cs="Arial"/>
              </w:rPr>
              <w:t>成分藥品前告知醫療人員；</w:t>
            </w:r>
            <w:r w:rsidRPr="004D146A">
              <w:rPr>
                <w:rFonts w:ascii="Arial" w:eastAsia="標楷體" w:hAnsi="Arial" w:cs="Arial"/>
                <w:shd w:val="clear" w:color="auto" w:fill="FFFFFF"/>
              </w:rPr>
              <w:t>可能有任何危險因子或</w:t>
            </w:r>
            <w:r w:rsidRPr="004D146A">
              <w:rPr>
                <w:rFonts w:ascii="Arial" w:eastAsia="標楷體" w:hAnsi="Arial" w:cs="Arial"/>
              </w:rPr>
              <w:t>顧慮時，亦應諮詢醫療人員。</w:t>
            </w:r>
          </w:p>
          <w:p w:rsidR="0040348B" w:rsidRDefault="00E3049D" w:rsidP="00737BC7">
            <w:pPr>
              <w:pStyle w:val="Web"/>
              <w:numPr>
                <w:ilvl w:val="0"/>
                <w:numId w:val="6"/>
              </w:numPr>
              <w:spacing w:before="0" w:beforeAutospacing="0" w:after="0" w:afterAutospacing="0" w:line="400" w:lineRule="exact"/>
              <w:rPr>
                <w:rFonts w:ascii="Arial" w:eastAsia="標楷體" w:hAnsi="Arial" w:cs="Arial"/>
              </w:rPr>
            </w:pPr>
            <w:r w:rsidRPr="004D146A">
              <w:rPr>
                <w:rFonts w:ascii="Arial" w:eastAsia="標楷體" w:hAnsi="Arial" w:cs="Arial"/>
              </w:rPr>
              <w:t>使用</w:t>
            </w:r>
            <w:r w:rsidR="001F71A4" w:rsidRPr="004D146A">
              <w:rPr>
                <w:rFonts w:ascii="Arial" w:eastAsia="標楷體" w:hAnsi="Arial" w:cs="Arial"/>
                <w:bCs/>
              </w:rPr>
              <w:t>含</w:t>
            </w:r>
            <w:r w:rsidRPr="004D146A">
              <w:rPr>
                <w:rFonts w:ascii="Arial" w:eastAsia="標楷體" w:hAnsi="Arial" w:cs="Arial"/>
              </w:rPr>
              <w:t>human immune globulin</w:t>
            </w:r>
            <w:r w:rsidRPr="004D146A">
              <w:rPr>
                <w:rFonts w:ascii="Arial" w:eastAsia="標楷體" w:hAnsi="Arial" w:cs="Arial"/>
              </w:rPr>
              <w:t>成分藥品期間或使用後，若出現任何血栓相關</w:t>
            </w:r>
            <w:r w:rsidR="0040348B">
              <w:rPr>
                <w:rFonts w:ascii="Arial" w:eastAsia="標楷體" w:hAnsi="Arial" w:cs="Arial" w:hint="eastAsia"/>
              </w:rPr>
              <w:t>徵兆及</w:t>
            </w:r>
            <w:r w:rsidRPr="004D146A">
              <w:rPr>
                <w:rFonts w:ascii="Arial" w:eastAsia="標楷體" w:hAnsi="Arial" w:cs="Arial"/>
              </w:rPr>
              <w:t>症狀，應立即告知醫療人員。</w:t>
            </w:r>
          </w:p>
          <w:p w:rsidR="00E3049D" w:rsidRPr="004D146A" w:rsidRDefault="00E3049D" w:rsidP="0040348B">
            <w:pPr>
              <w:pStyle w:val="Web"/>
              <w:spacing w:before="0" w:beforeAutospacing="0" w:after="0" w:afterAutospacing="0" w:line="400" w:lineRule="exact"/>
              <w:ind w:left="826"/>
              <w:rPr>
                <w:rFonts w:ascii="Arial" w:eastAsia="標楷體" w:hAnsi="Arial" w:cs="Arial"/>
              </w:rPr>
            </w:pPr>
            <w:r w:rsidRPr="004D146A">
              <w:rPr>
                <w:rFonts w:ascii="Arial" w:eastAsia="標楷體" w:hAnsi="Arial" w:cs="Arial"/>
              </w:rPr>
              <w:t>血栓相關</w:t>
            </w:r>
            <w:r w:rsidR="0040348B">
              <w:rPr>
                <w:rFonts w:ascii="Arial" w:eastAsia="標楷體" w:hAnsi="Arial" w:cs="Arial" w:hint="eastAsia"/>
              </w:rPr>
              <w:t>徵兆及</w:t>
            </w:r>
            <w:r w:rsidRPr="004D146A">
              <w:rPr>
                <w:rFonts w:ascii="Arial" w:eastAsia="標楷體" w:hAnsi="Arial" w:cs="Arial"/>
              </w:rPr>
              <w:t>症狀包括：</w:t>
            </w:r>
          </w:p>
          <w:p w:rsidR="001F71A4" w:rsidRPr="004D146A" w:rsidRDefault="00E3049D" w:rsidP="007E4E35">
            <w:pPr>
              <w:pStyle w:val="Web"/>
              <w:numPr>
                <w:ilvl w:val="1"/>
                <w:numId w:val="1"/>
              </w:numPr>
              <w:spacing w:before="0" w:beforeAutospacing="0" w:after="0" w:afterAutospacing="0" w:line="400" w:lineRule="exact"/>
              <w:rPr>
                <w:rFonts w:ascii="Arial" w:eastAsia="標楷體" w:hAnsi="Arial" w:cs="Arial"/>
              </w:rPr>
            </w:pPr>
            <w:r w:rsidRPr="004D146A">
              <w:rPr>
                <w:rFonts w:ascii="Arial" w:eastAsia="標楷體" w:hAnsi="Arial" w:cs="Arial"/>
              </w:rPr>
              <w:t>手臂或腿（包括腳踝及足部）的疼痛及</w:t>
            </w:r>
            <w:r w:rsidRPr="004D146A">
              <w:rPr>
                <w:rFonts w:ascii="Arial" w:eastAsia="標楷體" w:hAnsi="Arial" w:cs="Arial"/>
              </w:rPr>
              <w:t>/</w:t>
            </w:r>
            <w:r w:rsidRPr="004D146A">
              <w:rPr>
                <w:rFonts w:ascii="Arial" w:eastAsia="標楷體" w:hAnsi="Arial" w:cs="Arial"/>
              </w:rPr>
              <w:t>或腫脹且伴隨發熱。</w:t>
            </w:r>
          </w:p>
          <w:p w:rsidR="001F71A4" w:rsidRPr="004D146A" w:rsidRDefault="00E3049D" w:rsidP="007E4E35">
            <w:pPr>
              <w:pStyle w:val="Web"/>
              <w:numPr>
                <w:ilvl w:val="1"/>
                <w:numId w:val="1"/>
              </w:numPr>
              <w:spacing w:before="0" w:beforeAutospacing="0" w:after="0" w:afterAutospacing="0" w:line="400" w:lineRule="exact"/>
              <w:rPr>
                <w:rFonts w:ascii="Arial" w:eastAsia="標楷體" w:hAnsi="Arial" w:cs="Arial"/>
              </w:rPr>
            </w:pPr>
            <w:r w:rsidRPr="004D146A">
              <w:rPr>
                <w:rFonts w:ascii="Arial" w:eastAsia="標楷體" w:hAnsi="Arial" w:cs="Arial"/>
              </w:rPr>
              <w:t>手臂或腿變色。</w:t>
            </w:r>
          </w:p>
          <w:p w:rsidR="001F71A4" w:rsidRPr="004D146A" w:rsidRDefault="00E3049D" w:rsidP="007E4E35">
            <w:pPr>
              <w:pStyle w:val="Web"/>
              <w:numPr>
                <w:ilvl w:val="1"/>
                <w:numId w:val="1"/>
              </w:numPr>
              <w:spacing w:before="0" w:beforeAutospacing="0" w:after="0" w:afterAutospacing="0" w:line="400" w:lineRule="exact"/>
              <w:rPr>
                <w:rFonts w:ascii="Arial" w:eastAsia="標楷體" w:hAnsi="Arial" w:cs="Arial"/>
              </w:rPr>
            </w:pPr>
            <w:r w:rsidRPr="004D146A">
              <w:rPr>
                <w:rFonts w:ascii="Arial" w:eastAsia="標楷體" w:hAnsi="Arial" w:cs="Arial"/>
              </w:rPr>
              <w:t>不明原因的呼吸短促。</w:t>
            </w:r>
          </w:p>
          <w:p w:rsidR="001F71A4" w:rsidRPr="004D146A" w:rsidRDefault="00E3049D" w:rsidP="007E4E35">
            <w:pPr>
              <w:pStyle w:val="Web"/>
              <w:numPr>
                <w:ilvl w:val="1"/>
                <w:numId w:val="1"/>
              </w:numPr>
              <w:spacing w:before="0" w:beforeAutospacing="0" w:after="0" w:afterAutospacing="0" w:line="400" w:lineRule="exact"/>
              <w:rPr>
                <w:rFonts w:ascii="Arial" w:eastAsia="標楷體" w:hAnsi="Arial" w:cs="Arial"/>
              </w:rPr>
            </w:pPr>
            <w:r w:rsidRPr="004D146A">
              <w:rPr>
                <w:rFonts w:ascii="Arial" w:eastAsia="標楷體" w:hAnsi="Arial" w:cs="Arial"/>
              </w:rPr>
              <w:t>胸痛或不適，且在深呼吸時加劇。</w:t>
            </w:r>
          </w:p>
          <w:p w:rsidR="001F71A4" w:rsidRPr="004D146A" w:rsidRDefault="00E3049D" w:rsidP="007E4E35">
            <w:pPr>
              <w:pStyle w:val="Web"/>
              <w:numPr>
                <w:ilvl w:val="1"/>
                <w:numId w:val="1"/>
              </w:numPr>
              <w:spacing w:before="0" w:beforeAutospacing="0" w:after="0" w:afterAutospacing="0" w:line="400" w:lineRule="exact"/>
              <w:rPr>
                <w:rFonts w:ascii="Arial" w:eastAsia="標楷體" w:hAnsi="Arial" w:cs="Arial"/>
              </w:rPr>
            </w:pPr>
            <w:r w:rsidRPr="004D146A">
              <w:rPr>
                <w:rFonts w:ascii="Arial" w:eastAsia="標楷體" w:hAnsi="Arial" w:cs="Arial"/>
              </w:rPr>
              <w:t>不明原因的脈搏加快。</w:t>
            </w:r>
          </w:p>
          <w:p w:rsidR="001F71A4" w:rsidRPr="004D146A" w:rsidRDefault="00E3049D" w:rsidP="007E4E35">
            <w:pPr>
              <w:pStyle w:val="Web"/>
              <w:numPr>
                <w:ilvl w:val="1"/>
                <w:numId w:val="1"/>
              </w:numPr>
              <w:spacing w:before="0" w:beforeAutospacing="0" w:after="0" w:afterAutospacing="0" w:line="400" w:lineRule="exact"/>
              <w:rPr>
                <w:rFonts w:ascii="Arial" w:eastAsia="標楷體" w:hAnsi="Arial" w:cs="Arial"/>
              </w:rPr>
            </w:pPr>
            <w:r w:rsidRPr="004D146A">
              <w:rPr>
                <w:rFonts w:ascii="Arial" w:eastAsia="標楷體" w:hAnsi="Arial" w:cs="Arial"/>
              </w:rPr>
              <w:t>胸痛。</w:t>
            </w:r>
          </w:p>
          <w:p w:rsidR="00E3049D" w:rsidRPr="004D146A" w:rsidRDefault="00E3049D" w:rsidP="007E4E35">
            <w:pPr>
              <w:pStyle w:val="Web"/>
              <w:numPr>
                <w:ilvl w:val="1"/>
                <w:numId w:val="1"/>
              </w:numPr>
              <w:spacing w:before="0" w:beforeAutospacing="0" w:after="0" w:afterAutospacing="0" w:line="400" w:lineRule="exact"/>
              <w:rPr>
                <w:rFonts w:ascii="Arial" w:eastAsia="標楷體" w:hAnsi="Arial" w:cs="Arial"/>
              </w:rPr>
            </w:pPr>
            <w:r w:rsidRPr="004D146A">
              <w:rPr>
                <w:rFonts w:ascii="Arial" w:eastAsia="標楷體" w:hAnsi="Arial" w:cs="Arial"/>
              </w:rPr>
              <w:t>身體單側出現麻木或虛弱感。</w:t>
            </w:r>
          </w:p>
          <w:p w:rsidR="00E3049D" w:rsidRPr="004D146A" w:rsidRDefault="00E3049D" w:rsidP="00E3049D">
            <w:pPr>
              <w:jc w:val="both"/>
              <w:rPr>
                <w:rFonts w:ascii="Arial" w:eastAsia="標楷體" w:hAnsi="Arial" w:cs="Arial"/>
                <w:szCs w:val="24"/>
              </w:rPr>
            </w:pPr>
            <w:r w:rsidRPr="004D146A">
              <w:rPr>
                <w:rFonts w:ascii="細明體" w:eastAsia="細明體" w:hAnsi="細明體" w:cs="細明體" w:hint="eastAsia"/>
                <w:szCs w:val="24"/>
              </w:rPr>
              <w:t>◎</w:t>
            </w:r>
            <w:r w:rsidRPr="004D146A">
              <w:rPr>
                <w:rFonts w:ascii="Arial" w:eastAsia="標楷體" w:hAnsi="Arial" w:cs="Arial"/>
                <w:szCs w:val="24"/>
              </w:rPr>
              <w:t xml:space="preserve"> </w:t>
            </w:r>
            <w:r w:rsidRPr="004D146A">
              <w:rPr>
                <w:rFonts w:ascii="Arial" w:eastAsia="標楷體" w:hAnsi="Arial" w:cs="Arial"/>
                <w:szCs w:val="24"/>
              </w:rPr>
              <w:t>醫療人員或病人懷疑因為使用（服用）藥品導致不良反應發生時，請立即通報給衛生福利部所建置之全國藥物不良反應通報中心並副知所屬廠商，藥物不良反應通報專線</w:t>
            </w:r>
            <w:r w:rsidRPr="004D146A">
              <w:rPr>
                <w:rFonts w:ascii="Arial" w:eastAsia="標楷體" w:hAnsi="Arial" w:cs="Arial"/>
                <w:szCs w:val="24"/>
              </w:rPr>
              <w:t>02-2396-0100</w:t>
            </w:r>
            <w:r w:rsidRPr="004D146A">
              <w:rPr>
                <w:rFonts w:ascii="Arial" w:eastAsia="標楷體" w:hAnsi="Arial" w:cs="Arial"/>
                <w:szCs w:val="24"/>
              </w:rPr>
              <w:t>，網站：</w:t>
            </w:r>
            <w:hyperlink r:id="rId13" w:history="1">
              <w:r w:rsidRPr="004D146A">
                <w:rPr>
                  <w:rStyle w:val="ab"/>
                  <w:rFonts w:ascii="Arial" w:eastAsia="標楷體" w:hAnsi="Arial" w:cs="Arial"/>
                  <w:color w:val="auto"/>
                  <w:szCs w:val="24"/>
                </w:rPr>
                <w:t>https://adr.fda.gov.tw</w:t>
              </w:r>
            </w:hyperlink>
            <w:r w:rsidRPr="004D146A">
              <w:rPr>
                <w:rFonts w:ascii="Arial" w:eastAsia="標楷體" w:hAnsi="Arial" w:cs="Arial"/>
                <w:szCs w:val="24"/>
              </w:rPr>
              <w:t>；衛生福利部食品藥物管理署獲知藥品安全訊息時，均會蒐集彙整相關資料進行評估，並對於新增之藥品風險採取對應之風險管控措施。</w:t>
            </w:r>
          </w:p>
        </w:tc>
      </w:tr>
    </w:tbl>
    <w:p w:rsidR="00211E09" w:rsidRPr="003B56BC" w:rsidRDefault="00211E09"/>
    <w:sectPr w:rsidR="00211E09" w:rsidRPr="003B56BC" w:rsidSect="0040348B">
      <w:pgSz w:w="11906" w:h="16838"/>
      <w:pgMar w:top="1440" w:right="1800" w:bottom="1276"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AE5" w:rsidRDefault="00335AE5" w:rsidP="003B56BC">
      <w:r>
        <w:separator/>
      </w:r>
    </w:p>
  </w:endnote>
  <w:endnote w:type="continuationSeparator" w:id="1">
    <w:p w:rsidR="00335AE5" w:rsidRDefault="00335AE5" w:rsidP="003B56B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AE5" w:rsidRDefault="00335AE5" w:rsidP="003B56BC">
      <w:r>
        <w:separator/>
      </w:r>
    </w:p>
  </w:footnote>
  <w:footnote w:type="continuationSeparator" w:id="1">
    <w:p w:rsidR="00335AE5" w:rsidRDefault="00335AE5" w:rsidP="003B56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665"/>
    <w:multiLevelType w:val="hybridMultilevel"/>
    <w:tmpl w:val="51FCAFBC"/>
    <w:lvl w:ilvl="0" w:tplc="7A962CDA">
      <w:start w:val="99"/>
      <w:numFmt w:val="bullet"/>
      <w:lvlText w:val="◎"/>
      <w:lvlJc w:val="left"/>
      <w:pPr>
        <w:tabs>
          <w:tab w:val="num" w:pos="346"/>
        </w:tabs>
        <w:ind w:left="346" w:hanging="360"/>
      </w:pPr>
      <w:rPr>
        <w:rFonts w:ascii="標楷體" w:eastAsia="標楷體" w:hAnsi="標楷體" w:hint="eastAsia"/>
      </w:rPr>
    </w:lvl>
    <w:lvl w:ilvl="1" w:tplc="AD063AF8">
      <w:start w:val="1"/>
      <w:numFmt w:val="decimal"/>
      <w:lvlText w:val="(%2)"/>
      <w:lvlJc w:val="left"/>
      <w:pPr>
        <w:tabs>
          <w:tab w:val="num" w:pos="1440"/>
        </w:tabs>
        <w:ind w:left="1440" w:hanging="360"/>
      </w:pPr>
      <w:rPr>
        <w:rFonts w:hint="default"/>
      </w:rPr>
    </w:lvl>
    <w:lvl w:ilvl="2" w:tplc="95ECE38E">
      <w:start w:val="1"/>
      <w:numFmt w:val="lowerLetter"/>
      <w:lvlText w:val="%3."/>
      <w:lvlJc w:val="left"/>
      <w:pPr>
        <w:tabs>
          <w:tab w:val="num" w:pos="2160"/>
        </w:tabs>
        <w:ind w:left="2160" w:hanging="360"/>
      </w:pPr>
      <w:rPr>
        <w:rFonts w:hint="eastAsia"/>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08D62C09"/>
    <w:multiLevelType w:val="hybridMultilevel"/>
    <w:tmpl w:val="4BA0AA26"/>
    <w:lvl w:ilvl="0" w:tplc="5BC85F12">
      <w:start w:val="1"/>
      <w:numFmt w:val="decimal"/>
      <w:lvlText w:val="%1."/>
      <w:lvlJc w:val="left"/>
      <w:pPr>
        <w:ind w:left="360" w:hanging="360"/>
      </w:pPr>
      <w:rPr>
        <w:rFonts w:hint="default"/>
      </w:rPr>
    </w:lvl>
    <w:lvl w:ilvl="1" w:tplc="AD063AF8">
      <w:start w:val="1"/>
      <w:numFmt w:val="decimal"/>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272D91"/>
    <w:multiLevelType w:val="hybridMultilevel"/>
    <w:tmpl w:val="A17A3F10"/>
    <w:lvl w:ilvl="0" w:tplc="0409000F">
      <w:start w:val="1"/>
      <w:numFmt w:val="decimal"/>
      <w:lvlText w:val="%1."/>
      <w:lvlJc w:val="left"/>
      <w:pPr>
        <w:ind w:left="826" w:hanging="480"/>
      </w:p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nsid w:val="3690605F"/>
    <w:multiLevelType w:val="hybridMultilevel"/>
    <w:tmpl w:val="B7769CC0"/>
    <w:lvl w:ilvl="0" w:tplc="27DA2A40">
      <w:start w:val="1"/>
      <w:numFmt w:val="decimal"/>
      <w:lvlText w:val="%1."/>
      <w:lvlJc w:val="left"/>
      <w:pPr>
        <w:ind w:left="826" w:hanging="480"/>
      </w:pPr>
      <w:rPr>
        <w:rFonts w:cs="Times New Roman"/>
        <w:b w:val="0"/>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4">
    <w:nsid w:val="3A447AC6"/>
    <w:multiLevelType w:val="hybridMultilevel"/>
    <w:tmpl w:val="CCB86738"/>
    <w:lvl w:ilvl="0" w:tplc="AD063AF8">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nsid w:val="77252193"/>
    <w:multiLevelType w:val="hybridMultilevel"/>
    <w:tmpl w:val="8BD60E24"/>
    <w:lvl w:ilvl="0" w:tplc="0409000F">
      <w:start w:val="1"/>
      <w:numFmt w:val="decimal"/>
      <w:lvlText w:val="%1."/>
      <w:lvlJc w:val="left"/>
      <w:pPr>
        <w:ind w:left="826" w:hanging="480"/>
      </w:p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num w:numId="1">
    <w:abstractNumId w:val="0"/>
  </w:num>
  <w:num w:numId="2">
    <w:abstractNumId w:val="1"/>
  </w:num>
  <w:num w:numId="3">
    <w:abstractNumId w:val="4"/>
  </w:num>
  <w:num w:numId="4">
    <w:abstractNumId w:val="3"/>
  </w:num>
  <w:num w:numId="5">
    <w:abstractNumId w:val="5"/>
  </w:num>
  <w:num w:numId="6">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741"/>
    <w:rsid w:val="0000533D"/>
    <w:rsid w:val="00011906"/>
    <w:rsid w:val="0001300E"/>
    <w:rsid w:val="00014990"/>
    <w:rsid w:val="00017171"/>
    <w:rsid w:val="00017AD6"/>
    <w:rsid w:val="000217FE"/>
    <w:rsid w:val="00025EB7"/>
    <w:rsid w:val="00032A84"/>
    <w:rsid w:val="0003449A"/>
    <w:rsid w:val="000417A7"/>
    <w:rsid w:val="0004206A"/>
    <w:rsid w:val="0004625C"/>
    <w:rsid w:val="00051FB4"/>
    <w:rsid w:val="00057BAD"/>
    <w:rsid w:val="0006115A"/>
    <w:rsid w:val="00061A02"/>
    <w:rsid w:val="00063954"/>
    <w:rsid w:val="00067D43"/>
    <w:rsid w:val="000705C6"/>
    <w:rsid w:val="000757BC"/>
    <w:rsid w:val="000841D6"/>
    <w:rsid w:val="0009086A"/>
    <w:rsid w:val="000926E5"/>
    <w:rsid w:val="00093776"/>
    <w:rsid w:val="0009412B"/>
    <w:rsid w:val="00095F4A"/>
    <w:rsid w:val="00096F70"/>
    <w:rsid w:val="00097928"/>
    <w:rsid w:val="000A1FFD"/>
    <w:rsid w:val="000A3E05"/>
    <w:rsid w:val="000A4C28"/>
    <w:rsid w:val="000B2AA3"/>
    <w:rsid w:val="000B7771"/>
    <w:rsid w:val="000C168C"/>
    <w:rsid w:val="000C705F"/>
    <w:rsid w:val="000D56FD"/>
    <w:rsid w:val="000D5C02"/>
    <w:rsid w:val="000D6EA5"/>
    <w:rsid w:val="000E26A1"/>
    <w:rsid w:val="000E6892"/>
    <w:rsid w:val="000E6EB9"/>
    <w:rsid w:val="000F381D"/>
    <w:rsid w:val="000F5BF9"/>
    <w:rsid w:val="001010E3"/>
    <w:rsid w:val="00102FE1"/>
    <w:rsid w:val="001037C9"/>
    <w:rsid w:val="00104870"/>
    <w:rsid w:val="001049E0"/>
    <w:rsid w:val="00105264"/>
    <w:rsid w:val="00105D48"/>
    <w:rsid w:val="001105BA"/>
    <w:rsid w:val="001134EE"/>
    <w:rsid w:val="001164B5"/>
    <w:rsid w:val="00117D49"/>
    <w:rsid w:val="001200CD"/>
    <w:rsid w:val="0012095E"/>
    <w:rsid w:val="0012796A"/>
    <w:rsid w:val="00127F8B"/>
    <w:rsid w:val="0013078F"/>
    <w:rsid w:val="00130F11"/>
    <w:rsid w:val="00132D97"/>
    <w:rsid w:val="00133461"/>
    <w:rsid w:val="00133A9A"/>
    <w:rsid w:val="001352B5"/>
    <w:rsid w:val="00136184"/>
    <w:rsid w:val="001365D2"/>
    <w:rsid w:val="001409C3"/>
    <w:rsid w:val="001445BC"/>
    <w:rsid w:val="00150360"/>
    <w:rsid w:val="00151CE0"/>
    <w:rsid w:val="00153858"/>
    <w:rsid w:val="00154725"/>
    <w:rsid w:val="0015736A"/>
    <w:rsid w:val="001573A0"/>
    <w:rsid w:val="00161DFA"/>
    <w:rsid w:val="001621B1"/>
    <w:rsid w:val="00162D57"/>
    <w:rsid w:val="001644E2"/>
    <w:rsid w:val="00167294"/>
    <w:rsid w:val="0017066E"/>
    <w:rsid w:val="00172779"/>
    <w:rsid w:val="00186FAA"/>
    <w:rsid w:val="001938C0"/>
    <w:rsid w:val="00195F3C"/>
    <w:rsid w:val="001979BC"/>
    <w:rsid w:val="001A3C2B"/>
    <w:rsid w:val="001A3CD6"/>
    <w:rsid w:val="001A4D14"/>
    <w:rsid w:val="001A62F6"/>
    <w:rsid w:val="001B0AB6"/>
    <w:rsid w:val="001B19B5"/>
    <w:rsid w:val="001B2908"/>
    <w:rsid w:val="001B36F2"/>
    <w:rsid w:val="001B5163"/>
    <w:rsid w:val="001C360A"/>
    <w:rsid w:val="001C5A1B"/>
    <w:rsid w:val="001D43BC"/>
    <w:rsid w:val="001D5A9C"/>
    <w:rsid w:val="001D5D19"/>
    <w:rsid w:val="001D683C"/>
    <w:rsid w:val="001D6C93"/>
    <w:rsid w:val="001D789A"/>
    <w:rsid w:val="001E1874"/>
    <w:rsid w:val="001E1F05"/>
    <w:rsid w:val="001E4113"/>
    <w:rsid w:val="001E4D43"/>
    <w:rsid w:val="001E6F73"/>
    <w:rsid w:val="001E6F88"/>
    <w:rsid w:val="001F2486"/>
    <w:rsid w:val="001F7035"/>
    <w:rsid w:val="001F71A4"/>
    <w:rsid w:val="001F7358"/>
    <w:rsid w:val="00200D95"/>
    <w:rsid w:val="00203113"/>
    <w:rsid w:val="00211E09"/>
    <w:rsid w:val="0021575E"/>
    <w:rsid w:val="00215F9D"/>
    <w:rsid w:val="00217579"/>
    <w:rsid w:val="00217697"/>
    <w:rsid w:val="002212A6"/>
    <w:rsid w:val="00224B71"/>
    <w:rsid w:val="00224F29"/>
    <w:rsid w:val="00225A8B"/>
    <w:rsid w:val="00233457"/>
    <w:rsid w:val="00233E51"/>
    <w:rsid w:val="00234014"/>
    <w:rsid w:val="00235F72"/>
    <w:rsid w:val="00240B54"/>
    <w:rsid w:val="00241548"/>
    <w:rsid w:val="00241556"/>
    <w:rsid w:val="002420D6"/>
    <w:rsid w:val="00246966"/>
    <w:rsid w:val="00246B06"/>
    <w:rsid w:val="00247C22"/>
    <w:rsid w:val="0025164B"/>
    <w:rsid w:val="00252DD4"/>
    <w:rsid w:val="002647F8"/>
    <w:rsid w:val="00264F16"/>
    <w:rsid w:val="00265786"/>
    <w:rsid w:val="00266342"/>
    <w:rsid w:val="00266B92"/>
    <w:rsid w:val="002670EB"/>
    <w:rsid w:val="00270E2E"/>
    <w:rsid w:val="0027252E"/>
    <w:rsid w:val="0027402D"/>
    <w:rsid w:val="00276A7F"/>
    <w:rsid w:val="0027776F"/>
    <w:rsid w:val="00280FA4"/>
    <w:rsid w:val="00283013"/>
    <w:rsid w:val="002853C3"/>
    <w:rsid w:val="00285934"/>
    <w:rsid w:val="00286A02"/>
    <w:rsid w:val="00287741"/>
    <w:rsid w:val="00297146"/>
    <w:rsid w:val="002A2CDB"/>
    <w:rsid w:val="002A3A80"/>
    <w:rsid w:val="002A3E0E"/>
    <w:rsid w:val="002A4084"/>
    <w:rsid w:val="002B0394"/>
    <w:rsid w:val="002B3148"/>
    <w:rsid w:val="002C0D8A"/>
    <w:rsid w:val="002C5626"/>
    <w:rsid w:val="002C7C0E"/>
    <w:rsid w:val="002D28A6"/>
    <w:rsid w:val="002D37E8"/>
    <w:rsid w:val="002D3FC9"/>
    <w:rsid w:val="002D646B"/>
    <w:rsid w:val="002D6EA2"/>
    <w:rsid w:val="002E4D70"/>
    <w:rsid w:val="002F036F"/>
    <w:rsid w:val="002F0B94"/>
    <w:rsid w:val="002F7516"/>
    <w:rsid w:val="0030181F"/>
    <w:rsid w:val="003025BF"/>
    <w:rsid w:val="00303922"/>
    <w:rsid w:val="00306E81"/>
    <w:rsid w:val="00311A1A"/>
    <w:rsid w:val="003209F3"/>
    <w:rsid w:val="00324DD3"/>
    <w:rsid w:val="003329B3"/>
    <w:rsid w:val="00335AE5"/>
    <w:rsid w:val="00336369"/>
    <w:rsid w:val="00337644"/>
    <w:rsid w:val="00344761"/>
    <w:rsid w:val="00344FEF"/>
    <w:rsid w:val="00346490"/>
    <w:rsid w:val="00355F7A"/>
    <w:rsid w:val="003577D0"/>
    <w:rsid w:val="00357EF8"/>
    <w:rsid w:val="003708D0"/>
    <w:rsid w:val="00370EB4"/>
    <w:rsid w:val="0037188A"/>
    <w:rsid w:val="0037642A"/>
    <w:rsid w:val="00380E14"/>
    <w:rsid w:val="00382143"/>
    <w:rsid w:val="003850C5"/>
    <w:rsid w:val="00387C17"/>
    <w:rsid w:val="00391418"/>
    <w:rsid w:val="00394DA5"/>
    <w:rsid w:val="00397586"/>
    <w:rsid w:val="003A13D6"/>
    <w:rsid w:val="003A2A24"/>
    <w:rsid w:val="003A5B26"/>
    <w:rsid w:val="003A654F"/>
    <w:rsid w:val="003A66CF"/>
    <w:rsid w:val="003B09F6"/>
    <w:rsid w:val="003B36A0"/>
    <w:rsid w:val="003B53BF"/>
    <w:rsid w:val="003B56BC"/>
    <w:rsid w:val="003C06EB"/>
    <w:rsid w:val="003C0E64"/>
    <w:rsid w:val="003C54B8"/>
    <w:rsid w:val="003D5187"/>
    <w:rsid w:val="003E280C"/>
    <w:rsid w:val="003E3F6A"/>
    <w:rsid w:val="003E648E"/>
    <w:rsid w:val="003F3F3C"/>
    <w:rsid w:val="003F5161"/>
    <w:rsid w:val="00400BCB"/>
    <w:rsid w:val="00401D37"/>
    <w:rsid w:val="0040348B"/>
    <w:rsid w:val="0040378E"/>
    <w:rsid w:val="00403F35"/>
    <w:rsid w:val="00410160"/>
    <w:rsid w:val="00412970"/>
    <w:rsid w:val="00414682"/>
    <w:rsid w:val="00416206"/>
    <w:rsid w:val="00417455"/>
    <w:rsid w:val="004215DB"/>
    <w:rsid w:val="00424364"/>
    <w:rsid w:val="00424A9E"/>
    <w:rsid w:val="0043191F"/>
    <w:rsid w:val="00431A54"/>
    <w:rsid w:val="00432717"/>
    <w:rsid w:val="00437BEF"/>
    <w:rsid w:val="00442988"/>
    <w:rsid w:val="004430A7"/>
    <w:rsid w:val="00443436"/>
    <w:rsid w:val="004442AF"/>
    <w:rsid w:val="004518A5"/>
    <w:rsid w:val="004559E9"/>
    <w:rsid w:val="00463674"/>
    <w:rsid w:val="00463832"/>
    <w:rsid w:val="004669F4"/>
    <w:rsid w:val="00470B91"/>
    <w:rsid w:val="0047128D"/>
    <w:rsid w:val="0048216C"/>
    <w:rsid w:val="0048634C"/>
    <w:rsid w:val="00491E85"/>
    <w:rsid w:val="0049296B"/>
    <w:rsid w:val="00494188"/>
    <w:rsid w:val="00494350"/>
    <w:rsid w:val="004948DF"/>
    <w:rsid w:val="00494B0B"/>
    <w:rsid w:val="004956BA"/>
    <w:rsid w:val="00497C21"/>
    <w:rsid w:val="004A2826"/>
    <w:rsid w:val="004B1894"/>
    <w:rsid w:val="004B33E3"/>
    <w:rsid w:val="004B4590"/>
    <w:rsid w:val="004B470A"/>
    <w:rsid w:val="004B673A"/>
    <w:rsid w:val="004C036F"/>
    <w:rsid w:val="004C643C"/>
    <w:rsid w:val="004D146A"/>
    <w:rsid w:val="004E50EE"/>
    <w:rsid w:val="004E5C9D"/>
    <w:rsid w:val="004F253D"/>
    <w:rsid w:val="004F264F"/>
    <w:rsid w:val="004F2FA5"/>
    <w:rsid w:val="004F39CC"/>
    <w:rsid w:val="004F3D83"/>
    <w:rsid w:val="004F3EB2"/>
    <w:rsid w:val="00500620"/>
    <w:rsid w:val="005061AA"/>
    <w:rsid w:val="005065C7"/>
    <w:rsid w:val="00510943"/>
    <w:rsid w:val="00513748"/>
    <w:rsid w:val="00524A2E"/>
    <w:rsid w:val="00525106"/>
    <w:rsid w:val="00525D2E"/>
    <w:rsid w:val="00527197"/>
    <w:rsid w:val="005313F0"/>
    <w:rsid w:val="00541C57"/>
    <w:rsid w:val="00542A08"/>
    <w:rsid w:val="0054364B"/>
    <w:rsid w:val="005441B0"/>
    <w:rsid w:val="00544659"/>
    <w:rsid w:val="0055218E"/>
    <w:rsid w:val="00557DBB"/>
    <w:rsid w:val="00563392"/>
    <w:rsid w:val="00567D81"/>
    <w:rsid w:val="00570194"/>
    <w:rsid w:val="00573145"/>
    <w:rsid w:val="00574989"/>
    <w:rsid w:val="0057706B"/>
    <w:rsid w:val="00580DAA"/>
    <w:rsid w:val="00586F62"/>
    <w:rsid w:val="005879D3"/>
    <w:rsid w:val="00590BF6"/>
    <w:rsid w:val="0059111D"/>
    <w:rsid w:val="00594DDE"/>
    <w:rsid w:val="005A304F"/>
    <w:rsid w:val="005B3D39"/>
    <w:rsid w:val="005C1444"/>
    <w:rsid w:val="005C39B1"/>
    <w:rsid w:val="005C53AB"/>
    <w:rsid w:val="005D0116"/>
    <w:rsid w:val="005D4DD0"/>
    <w:rsid w:val="005E3BF1"/>
    <w:rsid w:val="005E42BA"/>
    <w:rsid w:val="005F4D31"/>
    <w:rsid w:val="005F6D8A"/>
    <w:rsid w:val="00617511"/>
    <w:rsid w:val="00620902"/>
    <w:rsid w:val="00621754"/>
    <w:rsid w:val="00631223"/>
    <w:rsid w:val="00631BCC"/>
    <w:rsid w:val="00635962"/>
    <w:rsid w:val="00640CDA"/>
    <w:rsid w:val="006420D0"/>
    <w:rsid w:val="00644664"/>
    <w:rsid w:val="006448FD"/>
    <w:rsid w:val="006457C5"/>
    <w:rsid w:val="00650041"/>
    <w:rsid w:val="006540E2"/>
    <w:rsid w:val="00654112"/>
    <w:rsid w:val="00664155"/>
    <w:rsid w:val="00666EEC"/>
    <w:rsid w:val="00670780"/>
    <w:rsid w:val="006740A7"/>
    <w:rsid w:val="006777C3"/>
    <w:rsid w:val="006840A8"/>
    <w:rsid w:val="00687288"/>
    <w:rsid w:val="0069120A"/>
    <w:rsid w:val="00692E10"/>
    <w:rsid w:val="00694832"/>
    <w:rsid w:val="00694E2F"/>
    <w:rsid w:val="00696359"/>
    <w:rsid w:val="00697FF3"/>
    <w:rsid w:val="006A0F9C"/>
    <w:rsid w:val="006A1665"/>
    <w:rsid w:val="006A5626"/>
    <w:rsid w:val="006A58A3"/>
    <w:rsid w:val="006A71AD"/>
    <w:rsid w:val="006B0EA0"/>
    <w:rsid w:val="006B2E8F"/>
    <w:rsid w:val="006B7F7C"/>
    <w:rsid w:val="006C1F4B"/>
    <w:rsid w:val="006C234F"/>
    <w:rsid w:val="006C45B7"/>
    <w:rsid w:val="006C47BE"/>
    <w:rsid w:val="006D4051"/>
    <w:rsid w:val="006E06D5"/>
    <w:rsid w:val="006E3EFC"/>
    <w:rsid w:val="006E572E"/>
    <w:rsid w:val="006F3C80"/>
    <w:rsid w:val="006F635B"/>
    <w:rsid w:val="00701E62"/>
    <w:rsid w:val="007035BE"/>
    <w:rsid w:val="00703733"/>
    <w:rsid w:val="00703DD6"/>
    <w:rsid w:val="00705769"/>
    <w:rsid w:val="00711D0C"/>
    <w:rsid w:val="007144AA"/>
    <w:rsid w:val="00716195"/>
    <w:rsid w:val="00716EF9"/>
    <w:rsid w:val="007234B7"/>
    <w:rsid w:val="00724B56"/>
    <w:rsid w:val="00734289"/>
    <w:rsid w:val="00736316"/>
    <w:rsid w:val="00737BC7"/>
    <w:rsid w:val="00737E01"/>
    <w:rsid w:val="00745D23"/>
    <w:rsid w:val="00747215"/>
    <w:rsid w:val="00747CC6"/>
    <w:rsid w:val="00757000"/>
    <w:rsid w:val="00766DEB"/>
    <w:rsid w:val="00771165"/>
    <w:rsid w:val="007765B3"/>
    <w:rsid w:val="0077765F"/>
    <w:rsid w:val="007868F7"/>
    <w:rsid w:val="00790EA3"/>
    <w:rsid w:val="007955AB"/>
    <w:rsid w:val="00795BF3"/>
    <w:rsid w:val="00796BA1"/>
    <w:rsid w:val="007A358C"/>
    <w:rsid w:val="007A4CAF"/>
    <w:rsid w:val="007A60AA"/>
    <w:rsid w:val="007A6DF5"/>
    <w:rsid w:val="007B1E92"/>
    <w:rsid w:val="007B4269"/>
    <w:rsid w:val="007B6BE9"/>
    <w:rsid w:val="007B7240"/>
    <w:rsid w:val="007B79BB"/>
    <w:rsid w:val="007C1262"/>
    <w:rsid w:val="007C6216"/>
    <w:rsid w:val="007D1DF8"/>
    <w:rsid w:val="007D2584"/>
    <w:rsid w:val="007D48EB"/>
    <w:rsid w:val="007D5B39"/>
    <w:rsid w:val="007D60CE"/>
    <w:rsid w:val="007D7285"/>
    <w:rsid w:val="007D7314"/>
    <w:rsid w:val="007E0CF5"/>
    <w:rsid w:val="007E1968"/>
    <w:rsid w:val="007E2943"/>
    <w:rsid w:val="007E2AE8"/>
    <w:rsid w:val="007E367A"/>
    <w:rsid w:val="007E4E35"/>
    <w:rsid w:val="007F0CDB"/>
    <w:rsid w:val="007F18FF"/>
    <w:rsid w:val="007F2D5A"/>
    <w:rsid w:val="007F5278"/>
    <w:rsid w:val="007F6DDB"/>
    <w:rsid w:val="00802B67"/>
    <w:rsid w:val="0081007B"/>
    <w:rsid w:val="008121FB"/>
    <w:rsid w:val="00812A01"/>
    <w:rsid w:val="00814A22"/>
    <w:rsid w:val="00817476"/>
    <w:rsid w:val="00820240"/>
    <w:rsid w:val="00820613"/>
    <w:rsid w:val="00821BAE"/>
    <w:rsid w:val="00822576"/>
    <w:rsid w:val="00824938"/>
    <w:rsid w:val="00825A4A"/>
    <w:rsid w:val="008279C2"/>
    <w:rsid w:val="0083095D"/>
    <w:rsid w:val="0083376D"/>
    <w:rsid w:val="00837B60"/>
    <w:rsid w:val="00843B2C"/>
    <w:rsid w:val="0084741A"/>
    <w:rsid w:val="008530B8"/>
    <w:rsid w:val="00871C9F"/>
    <w:rsid w:val="00875911"/>
    <w:rsid w:val="0088024A"/>
    <w:rsid w:val="008967C1"/>
    <w:rsid w:val="008B03BD"/>
    <w:rsid w:val="008B212E"/>
    <w:rsid w:val="008B23E1"/>
    <w:rsid w:val="008B4441"/>
    <w:rsid w:val="008B44E9"/>
    <w:rsid w:val="008D085F"/>
    <w:rsid w:val="008E4B76"/>
    <w:rsid w:val="008F1723"/>
    <w:rsid w:val="008F7A97"/>
    <w:rsid w:val="008F7FAA"/>
    <w:rsid w:val="00900DF0"/>
    <w:rsid w:val="00901209"/>
    <w:rsid w:val="00906275"/>
    <w:rsid w:val="009071F8"/>
    <w:rsid w:val="00913500"/>
    <w:rsid w:val="00913E22"/>
    <w:rsid w:val="0092152D"/>
    <w:rsid w:val="009262D9"/>
    <w:rsid w:val="00931790"/>
    <w:rsid w:val="0093272F"/>
    <w:rsid w:val="00932B3C"/>
    <w:rsid w:val="00940CD3"/>
    <w:rsid w:val="0094100B"/>
    <w:rsid w:val="009424B6"/>
    <w:rsid w:val="00943722"/>
    <w:rsid w:val="009509CA"/>
    <w:rsid w:val="009511D8"/>
    <w:rsid w:val="00953949"/>
    <w:rsid w:val="009559DE"/>
    <w:rsid w:val="00957C5A"/>
    <w:rsid w:val="00960C09"/>
    <w:rsid w:val="00961207"/>
    <w:rsid w:val="00963793"/>
    <w:rsid w:val="009645D4"/>
    <w:rsid w:val="00967C4B"/>
    <w:rsid w:val="0097283E"/>
    <w:rsid w:val="00972E63"/>
    <w:rsid w:val="009748E2"/>
    <w:rsid w:val="00977234"/>
    <w:rsid w:val="00983D0B"/>
    <w:rsid w:val="009868C4"/>
    <w:rsid w:val="0098745E"/>
    <w:rsid w:val="009879B8"/>
    <w:rsid w:val="00991E6E"/>
    <w:rsid w:val="009925A5"/>
    <w:rsid w:val="00993C77"/>
    <w:rsid w:val="009945E2"/>
    <w:rsid w:val="00995EC6"/>
    <w:rsid w:val="00996A79"/>
    <w:rsid w:val="009971D9"/>
    <w:rsid w:val="009A259C"/>
    <w:rsid w:val="009A332B"/>
    <w:rsid w:val="009A4704"/>
    <w:rsid w:val="009A7741"/>
    <w:rsid w:val="009B0E58"/>
    <w:rsid w:val="009B4394"/>
    <w:rsid w:val="009B492B"/>
    <w:rsid w:val="009C23A4"/>
    <w:rsid w:val="009C6DE0"/>
    <w:rsid w:val="009C71CB"/>
    <w:rsid w:val="009D0781"/>
    <w:rsid w:val="009D0C74"/>
    <w:rsid w:val="009D556C"/>
    <w:rsid w:val="009D7F33"/>
    <w:rsid w:val="009F00C4"/>
    <w:rsid w:val="009F0BA6"/>
    <w:rsid w:val="009F1ABC"/>
    <w:rsid w:val="009F2AD7"/>
    <w:rsid w:val="009F3E71"/>
    <w:rsid w:val="009F7A0A"/>
    <w:rsid w:val="00A01145"/>
    <w:rsid w:val="00A01F60"/>
    <w:rsid w:val="00A0525C"/>
    <w:rsid w:val="00A149BD"/>
    <w:rsid w:val="00A1597B"/>
    <w:rsid w:val="00A16FF2"/>
    <w:rsid w:val="00A1749B"/>
    <w:rsid w:val="00A17684"/>
    <w:rsid w:val="00A17CDC"/>
    <w:rsid w:val="00A228A3"/>
    <w:rsid w:val="00A27030"/>
    <w:rsid w:val="00A30453"/>
    <w:rsid w:val="00A30C4F"/>
    <w:rsid w:val="00A33080"/>
    <w:rsid w:val="00A34BBF"/>
    <w:rsid w:val="00A404C7"/>
    <w:rsid w:val="00A438D1"/>
    <w:rsid w:val="00A43DE1"/>
    <w:rsid w:val="00A47CA1"/>
    <w:rsid w:val="00A50F79"/>
    <w:rsid w:val="00A51DC0"/>
    <w:rsid w:val="00A608A0"/>
    <w:rsid w:val="00A60A53"/>
    <w:rsid w:val="00A617E1"/>
    <w:rsid w:val="00A61AF4"/>
    <w:rsid w:val="00A632BA"/>
    <w:rsid w:val="00A64165"/>
    <w:rsid w:val="00A65904"/>
    <w:rsid w:val="00A67CB1"/>
    <w:rsid w:val="00A70A16"/>
    <w:rsid w:val="00A72E5B"/>
    <w:rsid w:val="00A7499E"/>
    <w:rsid w:val="00A810C4"/>
    <w:rsid w:val="00A84D56"/>
    <w:rsid w:val="00A84D58"/>
    <w:rsid w:val="00A854A8"/>
    <w:rsid w:val="00A948FB"/>
    <w:rsid w:val="00A957B4"/>
    <w:rsid w:val="00A9761C"/>
    <w:rsid w:val="00AA4C8D"/>
    <w:rsid w:val="00AB378A"/>
    <w:rsid w:val="00AB5019"/>
    <w:rsid w:val="00AC129D"/>
    <w:rsid w:val="00AC6485"/>
    <w:rsid w:val="00AC679D"/>
    <w:rsid w:val="00AC6CDC"/>
    <w:rsid w:val="00AD4CA2"/>
    <w:rsid w:val="00AD6ED4"/>
    <w:rsid w:val="00AE1098"/>
    <w:rsid w:val="00AE2D7B"/>
    <w:rsid w:val="00AE3D73"/>
    <w:rsid w:val="00AE42B1"/>
    <w:rsid w:val="00AF3E85"/>
    <w:rsid w:val="00AF3FB2"/>
    <w:rsid w:val="00AF576F"/>
    <w:rsid w:val="00B04015"/>
    <w:rsid w:val="00B14288"/>
    <w:rsid w:val="00B205DE"/>
    <w:rsid w:val="00B20CB2"/>
    <w:rsid w:val="00B21BD1"/>
    <w:rsid w:val="00B26316"/>
    <w:rsid w:val="00B32C39"/>
    <w:rsid w:val="00B36263"/>
    <w:rsid w:val="00B40E3E"/>
    <w:rsid w:val="00B41CFE"/>
    <w:rsid w:val="00B44929"/>
    <w:rsid w:val="00B47013"/>
    <w:rsid w:val="00B515DE"/>
    <w:rsid w:val="00B54391"/>
    <w:rsid w:val="00B57AEE"/>
    <w:rsid w:val="00B64D74"/>
    <w:rsid w:val="00B65FF0"/>
    <w:rsid w:val="00B70E1C"/>
    <w:rsid w:val="00B734A3"/>
    <w:rsid w:val="00B74E5C"/>
    <w:rsid w:val="00B76FFB"/>
    <w:rsid w:val="00B77C8F"/>
    <w:rsid w:val="00B80624"/>
    <w:rsid w:val="00B8469B"/>
    <w:rsid w:val="00B869B1"/>
    <w:rsid w:val="00B90899"/>
    <w:rsid w:val="00B91FC0"/>
    <w:rsid w:val="00B92D8C"/>
    <w:rsid w:val="00B9319A"/>
    <w:rsid w:val="00B94ACE"/>
    <w:rsid w:val="00BA1D56"/>
    <w:rsid w:val="00BB1930"/>
    <w:rsid w:val="00BB5380"/>
    <w:rsid w:val="00BB77E5"/>
    <w:rsid w:val="00BC7C6D"/>
    <w:rsid w:val="00BD07AE"/>
    <w:rsid w:val="00BD6E9D"/>
    <w:rsid w:val="00BE29E8"/>
    <w:rsid w:val="00BE59AA"/>
    <w:rsid w:val="00BE5D4D"/>
    <w:rsid w:val="00BE65D7"/>
    <w:rsid w:val="00BE7D96"/>
    <w:rsid w:val="00BF31DF"/>
    <w:rsid w:val="00C01DF0"/>
    <w:rsid w:val="00C058D5"/>
    <w:rsid w:val="00C07109"/>
    <w:rsid w:val="00C0737A"/>
    <w:rsid w:val="00C109F4"/>
    <w:rsid w:val="00C1197C"/>
    <w:rsid w:val="00C1455D"/>
    <w:rsid w:val="00C14BC0"/>
    <w:rsid w:val="00C15BDF"/>
    <w:rsid w:val="00C17A5B"/>
    <w:rsid w:val="00C2341B"/>
    <w:rsid w:val="00C24FAF"/>
    <w:rsid w:val="00C27459"/>
    <w:rsid w:val="00C32212"/>
    <w:rsid w:val="00C43D66"/>
    <w:rsid w:val="00C45888"/>
    <w:rsid w:val="00C46FE1"/>
    <w:rsid w:val="00C4785F"/>
    <w:rsid w:val="00C56B68"/>
    <w:rsid w:val="00C61237"/>
    <w:rsid w:val="00C646BC"/>
    <w:rsid w:val="00C72E85"/>
    <w:rsid w:val="00C859E3"/>
    <w:rsid w:val="00C870E0"/>
    <w:rsid w:val="00C93D33"/>
    <w:rsid w:val="00C96599"/>
    <w:rsid w:val="00CA1255"/>
    <w:rsid w:val="00CA3983"/>
    <w:rsid w:val="00CA5FB5"/>
    <w:rsid w:val="00CB1993"/>
    <w:rsid w:val="00CB2324"/>
    <w:rsid w:val="00CB72D5"/>
    <w:rsid w:val="00CC5516"/>
    <w:rsid w:val="00CC7298"/>
    <w:rsid w:val="00CD3091"/>
    <w:rsid w:val="00CD79D6"/>
    <w:rsid w:val="00CE1812"/>
    <w:rsid w:val="00CE6C8C"/>
    <w:rsid w:val="00CF3C0F"/>
    <w:rsid w:val="00CF4D14"/>
    <w:rsid w:val="00D036AF"/>
    <w:rsid w:val="00D123F9"/>
    <w:rsid w:val="00D15026"/>
    <w:rsid w:val="00D15BB0"/>
    <w:rsid w:val="00D16650"/>
    <w:rsid w:val="00D1677B"/>
    <w:rsid w:val="00D211F6"/>
    <w:rsid w:val="00D31502"/>
    <w:rsid w:val="00D41DC5"/>
    <w:rsid w:val="00D41DFC"/>
    <w:rsid w:val="00D435DC"/>
    <w:rsid w:val="00D43615"/>
    <w:rsid w:val="00D43E77"/>
    <w:rsid w:val="00D45345"/>
    <w:rsid w:val="00D47A6A"/>
    <w:rsid w:val="00D53DA8"/>
    <w:rsid w:val="00D55283"/>
    <w:rsid w:val="00D55E01"/>
    <w:rsid w:val="00D66774"/>
    <w:rsid w:val="00D7135A"/>
    <w:rsid w:val="00D7317D"/>
    <w:rsid w:val="00D7379E"/>
    <w:rsid w:val="00D751DC"/>
    <w:rsid w:val="00D81E61"/>
    <w:rsid w:val="00D83C68"/>
    <w:rsid w:val="00D91ABB"/>
    <w:rsid w:val="00D96ABC"/>
    <w:rsid w:val="00D979CA"/>
    <w:rsid w:val="00DA60CB"/>
    <w:rsid w:val="00DB0099"/>
    <w:rsid w:val="00DB0E70"/>
    <w:rsid w:val="00DC0912"/>
    <w:rsid w:val="00DC2F9A"/>
    <w:rsid w:val="00DC3FDB"/>
    <w:rsid w:val="00DD0BF4"/>
    <w:rsid w:val="00DD0F1F"/>
    <w:rsid w:val="00DD3578"/>
    <w:rsid w:val="00DD6424"/>
    <w:rsid w:val="00DE1E4F"/>
    <w:rsid w:val="00DE62E8"/>
    <w:rsid w:val="00DE6301"/>
    <w:rsid w:val="00DF659A"/>
    <w:rsid w:val="00DF7820"/>
    <w:rsid w:val="00DF7AEA"/>
    <w:rsid w:val="00DF7B06"/>
    <w:rsid w:val="00E0088E"/>
    <w:rsid w:val="00E00E2D"/>
    <w:rsid w:val="00E03233"/>
    <w:rsid w:val="00E033CE"/>
    <w:rsid w:val="00E05A65"/>
    <w:rsid w:val="00E05CCE"/>
    <w:rsid w:val="00E11226"/>
    <w:rsid w:val="00E15128"/>
    <w:rsid w:val="00E17D63"/>
    <w:rsid w:val="00E20EEA"/>
    <w:rsid w:val="00E21A89"/>
    <w:rsid w:val="00E23FC2"/>
    <w:rsid w:val="00E3049D"/>
    <w:rsid w:val="00E34FA4"/>
    <w:rsid w:val="00E3531E"/>
    <w:rsid w:val="00E37393"/>
    <w:rsid w:val="00E42211"/>
    <w:rsid w:val="00E43180"/>
    <w:rsid w:val="00E45902"/>
    <w:rsid w:val="00E46873"/>
    <w:rsid w:val="00E52C4D"/>
    <w:rsid w:val="00E53CAC"/>
    <w:rsid w:val="00E57E29"/>
    <w:rsid w:val="00E62ECE"/>
    <w:rsid w:val="00E64C51"/>
    <w:rsid w:val="00E65DB7"/>
    <w:rsid w:val="00E66353"/>
    <w:rsid w:val="00E67E77"/>
    <w:rsid w:val="00E71D1A"/>
    <w:rsid w:val="00E734AE"/>
    <w:rsid w:val="00E739AA"/>
    <w:rsid w:val="00E742AD"/>
    <w:rsid w:val="00E74E4C"/>
    <w:rsid w:val="00E83C1D"/>
    <w:rsid w:val="00E84ECE"/>
    <w:rsid w:val="00E855E2"/>
    <w:rsid w:val="00E87C24"/>
    <w:rsid w:val="00EA06DF"/>
    <w:rsid w:val="00EA39AB"/>
    <w:rsid w:val="00EA4C04"/>
    <w:rsid w:val="00EA70F5"/>
    <w:rsid w:val="00EB2CCD"/>
    <w:rsid w:val="00EB5C9B"/>
    <w:rsid w:val="00EC088F"/>
    <w:rsid w:val="00EC701E"/>
    <w:rsid w:val="00ED2574"/>
    <w:rsid w:val="00ED2D64"/>
    <w:rsid w:val="00ED2F93"/>
    <w:rsid w:val="00ED412A"/>
    <w:rsid w:val="00ED6CFF"/>
    <w:rsid w:val="00EE2CE8"/>
    <w:rsid w:val="00EE3CB2"/>
    <w:rsid w:val="00EF0BC7"/>
    <w:rsid w:val="00EF17EF"/>
    <w:rsid w:val="00EF5FC1"/>
    <w:rsid w:val="00EF74F4"/>
    <w:rsid w:val="00EF75BE"/>
    <w:rsid w:val="00F01E23"/>
    <w:rsid w:val="00F02005"/>
    <w:rsid w:val="00F02357"/>
    <w:rsid w:val="00F02F8D"/>
    <w:rsid w:val="00F04FFA"/>
    <w:rsid w:val="00F12DD3"/>
    <w:rsid w:val="00F150DB"/>
    <w:rsid w:val="00F15BD9"/>
    <w:rsid w:val="00F17EF9"/>
    <w:rsid w:val="00F200AF"/>
    <w:rsid w:val="00F21086"/>
    <w:rsid w:val="00F2152A"/>
    <w:rsid w:val="00F24E6E"/>
    <w:rsid w:val="00F31C7A"/>
    <w:rsid w:val="00F37403"/>
    <w:rsid w:val="00F46C03"/>
    <w:rsid w:val="00F5040F"/>
    <w:rsid w:val="00F529BC"/>
    <w:rsid w:val="00F549F8"/>
    <w:rsid w:val="00F55BB2"/>
    <w:rsid w:val="00F6066B"/>
    <w:rsid w:val="00F612DB"/>
    <w:rsid w:val="00F61338"/>
    <w:rsid w:val="00F620C2"/>
    <w:rsid w:val="00F622C7"/>
    <w:rsid w:val="00F70472"/>
    <w:rsid w:val="00F720E1"/>
    <w:rsid w:val="00F72160"/>
    <w:rsid w:val="00F7670E"/>
    <w:rsid w:val="00F80177"/>
    <w:rsid w:val="00F81A18"/>
    <w:rsid w:val="00F8264D"/>
    <w:rsid w:val="00F83D47"/>
    <w:rsid w:val="00F86DA7"/>
    <w:rsid w:val="00F903D6"/>
    <w:rsid w:val="00FA4AEB"/>
    <w:rsid w:val="00FA6B0B"/>
    <w:rsid w:val="00FA7707"/>
    <w:rsid w:val="00FA7939"/>
    <w:rsid w:val="00FB3174"/>
    <w:rsid w:val="00FC31EB"/>
    <w:rsid w:val="00FD01EE"/>
    <w:rsid w:val="00FD18AB"/>
    <w:rsid w:val="00FD1932"/>
    <w:rsid w:val="00FD1F51"/>
    <w:rsid w:val="00FD33E8"/>
    <w:rsid w:val="00FD40E2"/>
    <w:rsid w:val="00FD4F53"/>
    <w:rsid w:val="00FE0128"/>
    <w:rsid w:val="00FF2530"/>
    <w:rsid w:val="00FF445C"/>
    <w:rsid w:val="00FF7A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34"/>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22"/>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annotation text"/>
    <w:basedOn w:val="a"/>
    <w:link w:val="ae"/>
    <w:uiPriority w:val="99"/>
    <w:semiHidden/>
    <w:unhideWhenUsed/>
    <w:rsid w:val="00270E2E"/>
  </w:style>
  <w:style w:type="character" w:customStyle="1" w:styleId="ae">
    <w:name w:val="註解文字 字元"/>
    <w:basedOn w:val="a0"/>
    <w:link w:val="ad"/>
    <w:uiPriority w:val="99"/>
    <w:semiHidden/>
    <w:rsid w:val="00270E2E"/>
    <w:rPr>
      <w:kern w:val="2"/>
      <w:sz w:val="24"/>
      <w:szCs w:val="22"/>
    </w:rPr>
  </w:style>
  <w:style w:type="paragraph" w:styleId="af">
    <w:name w:val="annotation subject"/>
    <w:basedOn w:val="ad"/>
    <w:next w:val="ad"/>
    <w:link w:val="af0"/>
    <w:rsid w:val="00270E2E"/>
    <w:rPr>
      <w:rFonts w:ascii="Times New Roman" w:hAnsi="Times New Roman"/>
      <w:b/>
      <w:bCs/>
      <w:szCs w:val="24"/>
    </w:rPr>
  </w:style>
  <w:style w:type="character" w:customStyle="1" w:styleId="af0">
    <w:name w:val="註解主旨 字元"/>
    <w:basedOn w:val="ae"/>
    <w:link w:val="af"/>
    <w:rsid w:val="00270E2E"/>
    <w:rPr>
      <w:rFonts w:ascii="Times New Roman" w:hAnsi="Times New Roman"/>
      <w:b/>
      <w:bCs/>
      <w:kern w:val="2"/>
      <w:sz w:val="24"/>
      <w:szCs w:val="24"/>
    </w:rPr>
  </w:style>
  <w:style w:type="character" w:styleId="af1">
    <w:name w:val="annotation reference"/>
    <w:basedOn w:val="a0"/>
    <w:uiPriority w:val="99"/>
    <w:semiHidden/>
    <w:unhideWhenUsed/>
    <w:rsid w:val="001E1874"/>
    <w:rPr>
      <w:sz w:val="18"/>
      <w:szCs w:val="18"/>
    </w:rPr>
  </w:style>
  <w:style w:type="paragraph" w:styleId="af2">
    <w:name w:val="Balloon Text"/>
    <w:basedOn w:val="a"/>
    <w:link w:val="af3"/>
    <w:uiPriority w:val="99"/>
    <w:semiHidden/>
    <w:unhideWhenUsed/>
    <w:rsid w:val="001E187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E1874"/>
    <w:rPr>
      <w:rFonts w:asciiTheme="majorHAnsi" w:eastAsiaTheme="majorEastAsia" w:hAnsiTheme="majorHAnsi" w:cstheme="majorBidi"/>
      <w:kern w:val="2"/>
      <w:sz w:val="18"/>
      <w:szCs w:val="18"/>
    </w:rPr>
  </w:style>
  <w:style w:type="character" w:styleId="af4">
    <w:name w:val="FollowedHyperlink"/>
    <w:basedOn w:val="a0"/>
    <w:uiPriority w:val="99"/>
    <w:semiHidden/>
    <w:unhideWhenUsed/>
    <w:rsid w:val="009868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34"/>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22"/>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annotation text"/>
    <w:basedOn w:val="a"/>
    <w:link w:val="ae"/>
    <w:uiPriority w:val="99"/>
    <w:semiHidden/>
    <w:unhideWhenUsed/>
    <w:rsid w:val="00270E2E"/>
  </w:style>
  <w:style w:type="character" w:customStyle="1" w:styleId="ae">
    <w:name w:val="註解文字 字元"/>
    <w:basedOn w:val="a0"/>
    <w:link w:val="ad"/>
    <w:uiPriority w:val="99"/>
    <w:semiHidden/>
    <w:rsid w:val="00270E2E"/>
    <w:rPr>
      <w:kern w:val="2"/>
      <w:sz w:val="24"/>
      <w:szCs w:val="22"/>
    </w:rPr>
  </w:style>
  <w:style w:type="paragraph" w:styleId="af">
    <w:name w:val="annotation subject"/>
    <w:basedOn w:val="ad"/>
    <w:next w:val="ad"/>
    <w:link w:val="af0"/>
    <w:rsid w:val="00270E2E"/>
    <w:rPr>
      <w:rFonts w:ascii="Times New Roman" w:hAnsi="Times New Roman"/>
      <w:b/>
      <w:bCs/>
      <w:szCs w:val="24"/>
    </w:rPr>
  </w:style>
  <w:style w:type="character" w:customStyle="1" w:styleId="af0">
    <w:name w:val="註解主旨 字元"/>
    <w:basedOn w:val="ae"/>
    <w:link w:val="af"/>
    <w:rsid w:val="00270E2E"/>
    <w:rPr>
      <w:rFonts w:ascii="Times New Roman" w:hAnsi="Times New Roman"/>
      <w:b/>
      <w:bCs/>
      <w:kern w:val="2"/>
      <w:sz w:val="24"/>
      <w:szCs w:val="24"/>
    </w:rPr>
  </w:style>
  <w:style w:type="character" w:styleId="af1">
    <w:name w:val="annotation reference"/>
    <w:basedOn w:val="a0"/>
    <w:uiPriority w:val="99"/>
    <w:semiHidden/>
    <w:unhideWhenUsed/>
    <w:rsid w:val="001E1874"/>
    <w:rPr>
      <w:sz w:val="18"/>
      <w:szCs w:val="18"/>
    </w:rPr>
  </w:style>
  <w:style w:type="paragraph" w:styleId="af2">
    <w:name w:val="Balloon Text"/>
    <w:basedOn w:val="a"/>
    <w:link w:val="af3"/>
    <w:uiPriority w:val="99"/>
    <w:semiHidden/>
    <w:unhideWhenUsed/>
    <w:rsid w:val="001E187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E1874"/>
    <w:rPr>
      <w:rFonts w:asciiTheme="majorHAnsi" w:eastAsiaTheme="majorEastAsia" w:hAnsiTheme="majorHAnsi" w:cstheme="majorBidi"/>
      <w:kern w:val="2"/>
      <w:sz w:val="18"/>
      <w:szCs w:val="18"/>
    </w:rPr>
  </w:style>
  <w:style w:type="character" w:styleId="af4">
    <w:name w:val="FollowedHyperlink"/>
    <w:basedOn w:val="a0"/>
    <w:uiPriority w:val="99"/>
    <w:semiHidden/>
    <w:unhideWhenUsed/>
    <w:rsid w:val="009868C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0854">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5265">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tw/MLMS/(S(znig1l454kqx1v45ztdswp45))/H0001.aspx" TargetMode="External"/><Relationship Id="rId13" Type="http://schemas.openxmlformats.org/officeDocument/2006/relationships/hyperlink" Target="https://adr.fda.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da.gov/BiologicsBloodVaccines/SafetyAvailability/ucm375096.ht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ycanadians.gc.ca/recall-alert-rappel-avis/hc-sc/2014/41749a-eng.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ealthycanadians.gc.ca/recall-alert-rappel-avis/hc-sc/2014/41783a-eng.php" TargetMode="External"/><Relationship Id="rId4" Type="http://schemas.openxmlformats.org/officeDocument/2006/relationships/settings" Target="settings.xml"/><Relationship Id="rId9" Type="http://schemas.openxmlformats.org/officeDocument/2006/relationships/hyperlink" Target="http://hc-sc.gc.ca/dhp-mps/medeff/advisories-avis/review-examen/immuno-eng.ph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0A02E-B216-4ED8-A147-3E8D8928C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Template>
  <TotalTime>1</TotalTime>
  <Pages>2</Pages>
  <Words>1292</Words>
  <Characters>1274</Characters>
  <Application>Microsoft Office Word</Application>
  <DocSecurity>0</DocSecurity>
  <Lines>10</Lines>
  <Paragraphs>5</Paragraphs>
  <ScaleCrop>false</ScaleCrop>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user</cp:lastModifiedBy>
  <cp:revision>2</cp:revision>
  <cp:lastPrinted>2014-11-20T02:20:00Z</cp:lastPrinted>
  <dcterms:created xsi:type="dcterms:W3CDTF">2014-12-01T06:45:00Z</dcterms:created>
  <dcterms:modified xsi:type="dcterms:W3CDTF">2014-12-01T06:45:00Z</dcterms:modified>
</cp:coreProperties>
</file>