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2722" w:rsidRPr="00567212" w:rsidRDefault="00D22722" w:rsidP="00D22722">
      <w:pPr>
        <w:spacing w:line="460" w:lineRule="exact"/>
        <w:jc w:val="center"/>
        <w:rPr>
          <w:rFonts w:ascii="Times New Roman" w:eastAsia="標楷體" w:hAnsi="Times New Roman" w:cs="Times New Roman"/>
          <w:kern w:val="0"/>
          <w:sz w:val="40"/>
          <w:szCs w:val="40"/>
        </w:rPr>
      </w:pPr>
      <w:bookmarkStart w:id="0" w:name="_GoBack"/>
      <w:bookmarkEnd w:id="0"/>
      <w:r w:rsidRPr="00567212">
        <w:rPr>
          <w:rFonts w:ascii="Times New Roman" w:eastAsia="標楷體" w:hAnsi="Times New Roman" w:cs="Times New Roman"/>
          <w:sz w:val="40"/>
          <w:szCs w:val="40"/>
        </w:rPr>
        <w:t>藥物</w:t>
      </w:r>
      <w:r>
        <w:rPr>
          <w:rFonts w:ascii="Times New Roman" w:eastAsia="標楷體" w:hAnsi="Times New Roman" w:cs="Times New Roman" w:hint="eastAsia"/>
          <w:sz w:val="40"/>
          <w:szCs w:val="40"/>
        </w:rPr>
        <w:t>優良製造準則第三條</w:t>
      </w:r>
      <w:r w:rsidRPr="00567212">
        <w:rPr>
          <w:rFonts w:ascii="Times New Roman" w:eastAsia="標楷體" w:hAnsi="Times New Roman" w:cs="Times New Roman"/>
          <w:kern w:val="0"/>
          <w:sz w:val="40"/>
          <w:szCs w:val="40"/>
        </w:rPr>
        <w:t>修正</w:t>
      </w:r>
      <w:r w:rsidR="001D283A">
        <w:rPr>
          <w:rFonts w:ascii="Times New Roman" w:eastAsia="標楷體" w:hAnsi="Times New Roman" w:cs="Times New Roman" w:hint="eastAsia"/>
          <w:kern w:val="0"/>
          <w:sz w:val="40"/>
          <w:szCs w:val="40"/>
        </w:rPr>
        <w:t>草案</w:t>
      </w:r>
      <w:r w:rsidRPr="00567212">
        <w:rPr>
          <w:rFonts w:ascii="Times New Roman" w:eastAsia="標楷體" w:hAnsi="Times New Roman" w:cs="Times New Roman"/>
          <w:kern w:val="0"/>
          <w:sz w:val="40"/>
          <w:szCs w:val="40"/>
        </w:rPr>
        <w:t>總說明</w:t>
      </w:r>
    </w:p>
    <w:p w:rsidR="00D22722" w:rsidRPr="00567212" w:rsidRDefault="00D22722" w:rsidP="00D22722">
      <w:pPr>
        <w:spacing w:line="460" w:lineRule="exact"/>
        <w:ind w:firstLineChars="200" w:firstLine="560"/>
        <w:jc w:val="both"/>
        <w:rPr>
          <w:rFonts w:ascii="Times New Roman" w:eastAsia="標楷體" w:hAnsi="標楷體" w:cs="Times New Roman"/>
          <w:kern w:val="0"/>
          <w:sz w:val="28"/>
          <w:szCs w:val="28"/>
        </w:rPr>
      </w:pPr>
      <w:r w:rsidRPr="00567212">
        <w:rPr>
          <w:rFonts w:ascii="Times New Roman" w:eastAsia="標楷體" w:hAnsi="標楷體" w:cs="Times New Roman"/>
          <w:kern w:val="0"/>
          <w:sz w:val="28"/>
          <w:szCs w:val="28"/>
        </w:rPr>
        <w:t>藥物</w:t>
      </w:r>
      <w:r>
        <w:rPr>
          <w:rFonts w:ascii="Times New Roman" w:eastAsia="標楷體" w:hAnsi="標楷體" w:cs="Times New Roman" w:hint="eastAsia"/>
          <w:kern w:val="0"/>
          <w:sz w:val="28"/>
          <w:szCs w:val="28"/>
        </w:rPr>
        <w:t>優良製造準則</w:t>
      </w:r>
      <w:r w:rsidRPr="00567212">
        <w:rPr>
          <w:rFonts w:ascii="Times New Roman" w:eastAsia="標楷體" w:hAnsi="標楷體" w:cs="Times New Roman"/>
          <w:kern w:val="0"/>
          <w:sz w:val="28"/>
          <w:szCs w:val="28"/>
        </w:rPr>
        <w:t>於</w:t>
      </w:r>
      <w:smartTag w:uri="urn:schemas-microsoft-com:office:smarttags" w:element="chsdate">
        <w:smartTagPr>
          <w:attr w:name="Year" w:val="102"/>
          <w:attr w:name="Month" w:val="3"/>
          <w:attr w:name="Day" w:val="11"/>
          <w:attr w:name="IsLunarDate" w:val="False"/>
          <w:attr w:name="IsROCDate" w:val="False"/>
        </w:smartTagPr>
        <w:r>
          <w:rPr>
            <w:rFonts w:ascii="Times New Roman" w:eastAsia="標楷體" w:hAnsi="標楷體" w:cs="Times New Roman"/>
            <w:kern w:val="0"/>
            <w:sz w:val="28"/>
            <w:szCs w:val="28"/>
          </w:rPr>
          <w:t>一百零</w:t>
        </w:r>
        <w:r>
          <w:rPr>
            <w:rFonts w:ascii="Times New Roman" w:eastAsia="標楷體" w:hAnsi="標楷體" w:cs="Times New Roman" w:hint="eastAsia"/>
            <w:kern w:val="0"/>
            <w:sz w:val="28"/>
            <w:szCs w:val="28"/>
          </w:rPr>
          <w:t>二</w:t>
        </w:r>
        <w:r w:rsidRPr="00567212">
          <w:rPr>
            <w:rFonts w:ascii="Times New Roman" w:eastAsia="標楷體" w:hAnsi="標楷體" w:cs="Times New Roman"/>
            <w:kern w:val="0"/>
            <w:sz w:val="28"/>
            <w:szCs w:val="28"/>
          </w:rPr>
          <w:t>年</w:t>
        </w:r>
        <w:r>
          <w:rPr>
            <w:rFonts w:ascii="Times New Roman" w:eastAsia="標楷體" w:hAnsi="標楷體" w:cs="Times New Roman" w:hint="eastAsia"/>
            <w:kern w:val="0"/>
            <w:sz w:val="28"/>
            <w:szCs w:val="28"/>
          </w:rPr>
          <w:t>三</w:t>
        </w:r>
        <w:r w:rsidRPr="00567212">
          <w:rPr>
            <w:rFonts w:ascii="Times New Roman" w:eastAsia="標楷體" w:hAnsi="標楷體" w:cs="Times New Roman"/>
            <w:kern w:val="0"/>
            <w:sz w:val="28"/>
            <w:szCs w:val="28"/>
          </w:rPr>
          <w:t>月</w:t>
        </w:r>
        <w:r>
          <w:rPr>
            <w:rFonts w:ascii="Times New Roman" w:eastAsia="標楷體" w:hAnsi="標楷體" w:cs="Times New Roman" w:hint="eastAsia"/>
            <w:kern w:val="0"/>
            <w:sz w:val="28"/>
            <w:szCs w:val="28"/>
          </w:rPr>
          <w:t>十一日</w:t>
        </w:r>
      </w:smartTag>
      <w:r w:rsidRPr="00567212">
        <w:rPr>
          <w:rFonts w:ascii="Times New Roman" w:eastAsia="標楷體" w:hAnsi="標楷體" w:cs="Times New Roman" w:hint="eastAsia"/>
          <w:kern w:val="0"/>
          <w:sz w:val="28"/>
          <w:szCs w:val="28"/>
        </w:rPr>
        <w:t>由</w:t>
      </w:r>
      <w:r w:rsidR="00B32BE0">
        <w:rPr>
          <w:rFonts w:ascii="Times New Roman" w:eastAsia="標楷體" w:hAnsi="標楷體" w:cs="Times New Roman" w:hint="eastAsia"/>
          <w:kern w:val="0"/>
          <w:sz w:val="28"/>
          <w:szCs w:val="28"/>
        </w:rPr>
        <w:t>前</w:t>
      </w:r>
      <w:r w:rsidRPr="00567212">
        <w:rPr>
          <w:rFonts w:ascii="Times New Roman" w:eastAsia="標楷體" w:hAnsi="標楷體" w:cs="Times New Roman"/>
          <w:kern w:val="0"/>
          <w:sz w:val="28"/>
          <w:szCs w:val="28"/>
        </w:rPr>
        <w:t>行政院衛生署發布</w:t>
      </w:r>
      <w:r w:rsidR="004F7AB7">
        <w:rPr>
          <w:rFonts w:ascii="Times New Roman" w:eastAsia="標楷體" w:hAnsi="標楷體" w:cs="Times New Roman" w:hint="eastAsia"/>
          <w:kern w:val="0"/>
          <w:sz w:val="28"/>
          <w:szCs w:val="28"/>
        </w:rPr>
        <w:t>，</w:t>
      </w:r>
      <w:r w:rsidRPr="00567212">
        <w:rPr>
          <w:rFonts w:ascii="Times New Roman" w:eastAsia="標楷體" w:hAnsi="標楷體" w:cs="Times New Roman" w:hint="eastAsia"/>
          <w:kern w:val="0"/>
          <w:sz w:val="28"/>
          <w:szCs w:val="28"/>
        </w:rPr>
        <w:t>全文共</w:t>
      </w:r>
      <w:r>
        <w:rPr>
          <w:rFonts w:ascii="Times New Roman" w:eastAsia="標楷體" w:hAnsi="標楷體" w:cs="Times New Roman" w:hint="eastAsia"/>
          <w:kern w:val="0"/>
          <w:sz w:val="28"/>
          <w:szCs w:val="28"/>
        </w:rPr>
        <w:t>一百四十六</w:t>
      </w:r>
      <w:r w:rsidRPr="00567212">
        <w:rPr>
          <w:rFonts w:ascii="Times New Roman" w:eastAsia="標楷體" w:hAnsi="標楷體" w:cs="Times New Roman" w:hint="eastAsia"/>
          <w:kern w:val="0"/>
          <w:sz w:val="28"/>
          <w:szCs w:val="28"/>
        </w:rPr>
        <w:t>條</w:t>
      </w:r>
      <w:r>
        <w:rPr>
          <w:rFonts w:ascii="Times New Roman" w:eastAsia="標楷體" w:hAnsi="標楷體" w:cs="Times New Roman" w:hint="eastAsia"/>
          <w:kern w:val="0"/>
          <w:sz w:val="28"/>
          <w:szCs w:val="28"/>
        </w:rPr>
        <w:t>。</w:t>
      </w:r>
    </w:p>
    <w:p w:rsidR="00D22722" w:rsidRDefault="00D22722" w:rsidP="00D22722">
      <w:pPr>
        <w:spacing w:line="460" w:lineRule="exact"/>
        <w:ind w:firstLine="540"/>
        <w:jc w:val="both"/>
        <w:rPr>
          <w:rFonts w:ascii="Times New Roman" w:eastAsia="標楷體" w:hAnsi="Times New Roman" w:cs="Times New Roman"/>
          <w:bCs/>
          <w:snapToGrid w:val="0"/>
          <w:kern w:val="0"/>
          <w:sz w:val="28"/>
          <w:szCs w:val="28"/>
        </w:rPr>
      </w:pPr>
      <w:r>
        <w:rPr>
          <w:rFonts w:ascii="Times New Roman" w:eastAsia="標楷體" w:hAnsi="Times New Roman" w:cs="Times New Roman" w:hint="eastAsia"/>
          <w:bCs/>
          <w:snapToGrid w:val="0"/>
          <w:kern w:val="0"/>
          <w:sz w:val="28"/>
          <w:szCs w:val="28"/>
        </w:rPr>
        <w:t>為</w:t>
      </w:r>
      <w:r w:rsidRPr="00B62F6D">
        <w:rPr>
          <w:rFonts w:ascii="Times New Roman" w:eastAsia="標楷體" w:hAnsi="Times New Roman" w:cs="Times New Roman" w:hint="eastAsia"/>
          <w:bCs/>
          <w:snapToGrid w:val="0"/>
          <w:kern w:val="0"/>
          <w:sz w:val="28"/>
          <w:szCs w:val="28"/>
        </w:rPr>
        <w:t>確保藥品之品質與安全</w:t>
      </w:r>
      <w:r w:rsidR="008E1BA0">
        <w:rPr>
          <w:rFonts w:ascii="Times New Roman" w:eastAsia="標楷體" w:hAnsi="Times New Roman" w:cs="Times New Roman" w:hint="eastAsia"/>
          <w:bCs/>
          <w:snapToGrid w:val="0"/>
          <w:kern w:val="0"/>
          <w:sz w:val="28"/>
          <w:szCs w:val="28"/>
        </w:rPr>
        <w:t>性</w:t>
      </w:r>
      <w:r>
        <w:rPr>
          <w:rFonts w:ascii="Times New Roman" w:eastAsia="標楷體" w:hAnsi="Times New Roman" w:cs="Times New Roman" w:hint="eastAsia"/>
          <w:bCs/>
          <w:snapToGrid w:val="0"/>
          <w:kern w:val="0"/>
          <w:sz w:val="28"/>
          <w:szCs w:val="28"/>
        </w:rPr>
        <w:t>，並</w:t>
      </w:r>
      <w:r w:rsidRPr="00B62F6D">
        <w:rPr>
          <w:rFonts w:ascii="Times New Roman" w:eastAsia="標楷體" w:hAnsi="Times New Roman" w:cs="Times New Roman"/>
          <w:kern w:val="0"/>
          <w:sz w:val="28"/>
          <w:szCs w:val="28"/>
        </w:rPr>
        <w:t>配合</w:t>
      </w:r>
      <w:smartTag w:uri="urn:schemas-microsoft-com:office:smarttags" w:element="chsdate">
        <w:smartTagPr>
          <w:attr w:name="Year" w:val="101"/>
          <w:attr w:name="Month" w:val="6"/>
          <w:attr w:name="Day" w:val="27"/>
          <w:attr w:name="IsLunarDate" w:val="False"/>
          <w:attr w:name="IsROCDate" w:val="False"/>
        </w:smartTagPr>
        <w:r>
          <w:rPr>
            <w:rFonts w:ascii="Times New Roman" w:eastAsia="標楷體" w:hAnsi="Times New Roman" w:cs="Times New Roman" w:hint="eastAsia"/>
            <w:kern w:val="0"/>
            <w:sz w:val="28"/>
            <w:szCs w:val="28"/>
          </w:rPr>
          <w:t>一百零一</w:t>
        </w:r>
        <w:r w:rsidRPr="00B62F6D">
          <w:rPr>
            <w:rFonts w:ascii="Times New Roman" w:eastAsia="標楷體" w:hAnsi="Times New Roman" w:cs="Times New Roman"/>
            <w:kern w:val="0"/>
            <w:sz w:val="28"/>
            <w:szCs w:val="28"/>
          </w:rPr>
          <w:t>年</w:t>
        </w:r>
        <w:r>
          <w:rPr>
            <w:rFonts w:ascii="Times New Roman" w:eastAsia="標楷體" w:hAnsi="Times New Roman" w:cs="Times New Roman" w:hint="eastAsia"/>
            <w:kern w:val="0"/>
            <w:sz w:val="28"/>
            <w:szCs w:val="28"/>
          </w:rPr>
          <w:t>六</w:t>
        </w:r>
        <w:r w:rsidRPr="00B62F6D">
          <w:rPr>
            <w:rFonts w:ascii="Times New Roman" w:eastAsia="標楷體" w:hAnsi="Times New Roman" w:cs="Times New Roman"/>
            <w:kern w:val="0"/>
            <w:sz w:val="28"/>
            <w:szCs w:val="28"/>
          </w:rPr>
          <w:t>月</w:t>
        </w:r>
        <w:r>
          <w:rPr>
            <w:rFonts w:ascii="Times New Roman" w:eastAsia="標楷體" w:hAnsi="Times New Roman" w:cs="Times New Roman" w:hint="eastAsia"/>
            <w:kern w:val="0"/>
            <w:sz w:val="28"/>
            <w:szCs w:val="28"/>
          </w:rPr>
          <w:t>二十七</w:t>
        </w:r>
        <w:r w:rsidRPr="00B62F6D">
          <w:rPr>
            <w:rFonts w:ascii="Times New Roman" w:eastAsia="標楷體" w:hAnsi="Times New Roman" w:cs="Times New Roman"/>
            <w:kern w:val="0"/>
            <w:sz w:val="28"/>
            <w:szCs w:val="28"/>
          </w:rPr>
          <w:t>日</w:t>
        </w:r>
      </w:smartTag>
      <w:r w:rsidRPr="00B62F6D">
        <w:rPr>
          <w:rFonts w:ascii="Times New Roman" w:eastAsia="標楷體" w:hAnsi="Times New Roman" w:cs="Times New Roman"/>
          <w:kern w:val="0"/>
          <w:sz w:val="28"/>
          <w:szCs w:val="28"/>
        </w:rPr>
        <w:t>公布之藥事法第</w:t>
      </w:r>
      <w:r>
        <w:rPr>
          <w:rFonts w:ascii="Times New Roman" w:eastAsia="標楷體" w:hAnsi="Times New Roman" w:cs="Times New Roman" w:hint="eastAsia"/>
          <w:kern w:val="0"/>
          <w:sz w:val="28"/>
          <w:szCs w:val="28"/>
        </w:rPr>
        <w:t>五十七</w:t>
      </w:r>
      <w:r w:rsidRPr="00B62F6D">
        <w:rPr>
          <w:rFonts w:ascii="Times New Roman" w:eastAsia="標楷體" w:hAnsi="Times New Roman" w:cs="Times New Roman"/>
          <w:kern w:val="0"/>
          <w:sz w:val="28"/>
          <w:szCs w:val="28"/>
        </w:rPr>
        <w:t>條第</w:t>
      </w:r>
      <w:r>
        <w:rPr>
          <w:rFonts w:ascii="Times New Roman" w:eastAsia="標楷體" w:hAnsi="Times New Roman" w:cs="Times New Roman" w:hint="eastAsia"/>
          <w:kern w:val="0"/>
          <w:sz w:val="28"/>
          <w:szCs w:val="28"/>
        </w:rPr>
        <w:t>二</w:t>
      </w:r>
      <w:r w:rsidRPr="00B62F6D">
        <w:rPr>
          <w:rFonts w:ascii="Times New Roman" w:eastAsia="標楷體" w:hAnsi="Times New Roman" w:cs="Times New Roman"/>
          <w:kern w:val="0"/>
          <w:sz w:val="28"/>
          <w:szCs w:val="28"/>
        </w:rPr>
        <w:t>項</w:t>
      </w:r>
      <w:r w:rsidR="001D283A">
        <w:rPr>
          <w:rFonts w:ascii="Times New Roman" w:eastAsia="標楷體" w:hAnsi="Times New Roman" w:cs="Times New Roman" w:hint="eastAsia"/>
          <w:kern w:val="0"/>
          <w:sz w:val="28"/>
          <w:szCs w:val="28"/>
        </w:rPr>
        <w:t>修正，本準則第三條於</w:t>
      </w:r>
      <w:r w:rsidR="001D283A">
        <w:rPr>
          <w:rFonts w:ascii="Times New Roman" w:eastAsia="標楷體" w:hAnsi="標楷體" w:cs="Times New Roman"/>
          <w:kern w:val="0"/>
          <w:sz w:val="28"/>
          <w:szCs w:val="28"/>
        </w:rPr>
        <w:t>一百零</w:t>
      </w:r>
      <w:r w:rsidR="001D283A">
        <w:rPr>
          <w:rFonts w:ascii="Times New Roman" w:eastAsia="標楷體" w:hAnsi="標楷體" w:cs="Times New Roman" w:hint="eastAsia"/>
          <w:kern w:val="0"/>
          <w:sz w:val="28"/>
          <w:szCs w:val="28"/>
        </w:rPr>
        <w:t>二</w:t>
      </w:r>
      <w:r w:rsidR="001D283A" w:rsidRPr="00567212">
        <w:rPr>
          <w:rFonts w:ascii="Times New Roman" w:eastAsia="標楷體" w:hAnsi="標楷體" w:cs="Times New Roman"/>
          <w:kern w:val="0"/>
          <w:sz w:val="28"/>
          <w:szCs w:val="28"/>
        </w:rPr>
        <w:t>年</w:t>
      </w:r>
      <w:r w:rsidR="001D283A">
        <w:rPr>
          <w:rFonts w:ascii="Times New Roman" w:eastAsia="標楷體" w:hAnsi="標楷體" w:cs="Times New Roman" w:hint="eastAsia"/>
          <w:kern w:val="0"/>
          <w:sz w:val="28"/>
          <w:szCs w:val="28"/>
        </w:rPr>
        <w:t>七</w:t>
      </w:r>
      <w:r w:rsidR="001D283A" w:rsidRPr="00567212">
        <w:rPr>
          <w:rFonts w:ascii="Times New Roman" w:eastAsia="標楷體" w:hAnsi="標楷體" w:cs="Times New Roman"/>
          <w:kern w:val="0"/>
          <w:sz w:val="28"/>
          <w:szCs w:val="28"/>
        </w:rPr>
        <w:t>月</w:t>
      </w:r>
      <w:r w:rsidR="001D283A">
        <w:rPr>
          <w:rFonts w:ascii="Times New Roman" w:eastAsia="標楷體" w:hAnsi="標楷體" w:cs="Times New Roman" w:hint="eastAsia"/>
          <w:kern w:val="0"/>
          <w:sz w:val="28"/>
          <w:szCs w:val="28"/>
        </w:rPr>
        <w:t>三十日</w:t>
      </w:r>
      <w:r w:rsidRPr="00F177B2">
        <w:rPr>
          <w:rFonts w:ascii="Times New Roman" w:eastAsia="標楷體" w:hAnsi="Times New Roman" w:cs="Times New Roman" w:hint="eastAsia"/>
          <w:bCs/>
          <w:snapToGrid w:val="0"/>
          <w:kern w:val="0"/>
          <w:sz w:val="28"/>
          <w:szCs w:val="28"/>
        </w:rPr>
        <w:t>修正</w:t>
      </w:r>
      <w:r w:rsidR="001D283A">
        <w:rPr>
          <w:rFonts w:ascii="Times New Roman" w:eastAsia="標楷體" w:hAnsi="Times New Roman" w:cs="Times New Roman" w:hint="eastAsia"/>
          <w:bCs/>
          <w:snapToGrid w:val="0"/>
          <w:kern w:val="0"/>
          <w:sz w:val="28"/>
          <w:szCs w:val="28"/>
        </w:rPr>
        <w:t>增列儲存及運銷項目，</w:t>
      </w:r>
      <w:r w:rsidRPr="00F177B2">
        <w:rPr>
          <w:rFonts w:ascii="Times New Roman" w:eastAsia="標楷體" w:hAnsi="Times New Roman" w:cs="Times New Roman" w:hint="eastAsia"/>
          <w:bCs/>
          <w:snapToGrid w:val="0"/>
          <w:kern w:val="0"/>
          <w:sz w:val="28"/>
          <w:szCs w:val="28"/>
        </w:rPr>
        <w:t>另，明定</w:t>
      </w:r>
      <w:r w:rsidR="004F7AB7">
        <w:rPr>
          <w:rFonts w:ascii="Times New Roman" w:eastAsia="標楷體" w:hAnsi="Times New Roman" w:cs="Times New Roman" w:hint="eastAsia"/>
          <w:bCs/>
          <w:snapToGrid w:val="0"/>
          <w:kern w:val="0"/>
          <w:sz w:val="28"/>
          <w:szCs w:val="28"/>
        </w:rPr>
        <w:t>西藥</w:t>
      </w:r>
      <w:r w:rsidRPr="00F177B2">
        <w:rPr>
          <w:rFonts w:ascii="Times New Roman" w:eastAsia="標楷體" w:hAnsi="Times New Roman" w:cs="Times New Roman" w:hint="eastAsia"/>
          <w:bCs/>
          <w:snapToGrid w:val="0"/>
          <w:kern w:val="0"/>
          <w:sz w:val="28"/>
          <w:szCs w:val="28"/>
        </w:rPr>
        <w:t>藥</w:t>
      </w:r>
      <w:r w:rsidR="004F7AB7">
        <w:rPr>
          <w:rFonts w:ascii="Times New Roman" w:eastAsia="標楷體" w:hAnsi="Times New Roman" w:cs="Times New Roman" w:hint="eastAsia"/>
          <w:bCs/>
          <w:snapToGrid w:val="0"/>
          <w:kern w:val="0"/>
          <w:sz w:val="28"/>
          <w:szCs w:val="28"/>
        </w:rPr>
        <w:t>品</w:t>
      </w:r>
      <w:r w:rsidRPr="00F177B2">
        <w:rPr>
          <w:rFonts w:ascii="Times New Roman" w:eastAsia="標楷體" w:hAnsi="Times New Roman" w:cs="Times New Roman" w:hint="eastAsia"/>
          <w:bCs/>
          <w:snapToGrid w:val="0"/>
          <w:kern w:val="0"/>
          <w:sz w:val="28"/>
          <w:szCs w:val="28"/>
        </w:rPr>
        <w:t>製造相關作業</w:t>
      </w:r>
      <w:r w:rsidR="004F7AB7">
        <w:rPr>
          <w:rFonts w:ascii="Times New Roman" w:eastAsia="標楷體" w:hAnsi="Times New Roman" w:cs="Times New Roman" w:hint="eastAsia"/>
          <w:bCs/>
          <w:snapToGrid w:val="0"/>
          <w:kern w:val="0"/>
          <w:sz w:val="28"/>
          <w:szCs w:val="28"/>
        </w:rPr>
        <w:t>，應符合</w:t>
      </w:r>
      <w:r w:rsidRPr="00F177B2">
        <w:rPr>
          <w:rFonts w:ascii="Times New Roman" w:eastAsia="標楷體" w:hAnsi="Times New Roman" w:cs="Times New Roman" w:hint="eastAsia"/>
          <w:bCs/>
          <w:snapToGrid w:val="0"/>
          <w:kern w:val="0"/>
          <w:sz w:val="28"/>
          <w:szCs w:val="28"/>
        </w:rPr>
        <w:t>參照</w:t>
      </w:r>
      <w:r w:rsidR="008E1BA0">
        <w:rPr>
          <w:rFonts w:ascii="Times New Roman" w:eastAsia="標楷體" w:hAnsi="Times New Roman" w:cs="Times New Roman" w:hint="eastAsia"/>
          <w:bCs/>
          <w:snapToGrid w:val="0"/>
          <w:kern w:val="0"/>
          <w:sz w:val="28"/>
          <w:szCs w:val="28"/>
        </w:rPr>
        <w:t>國際醫藥品稽查協約組織</w:t>
      </w:r>
      <w:r w:rsidR="008E1BA0" w:rsidRPr="00567212">
        <w:rPr>
          <w:rFonts w:ascii="Times New Roman" w:eastAsia="標楷體" w:hAnsi="標楷體" w:cs="Times New Roman"/>
          <w:kern w:val="0"/>
          <w:sz w:val="28"/>
          <w:szCs w:val="28"/>
        </w:rPr>
        <w:t>（</w:t>
      </w:r>
      <w:r w:rsidRPr="00F177B2">
        <w:rPr>
          <w:rFonts w:ascii="Times New Roman" w:eastAsia="標楷體" w:hAnsi="Times New Roman" w:cs="Times New Roman" w:hint="eastAsia"/>
          <w:bCs/>
          <w:snapToGrid w:val="0"/>
          <w:kern w:val="0"/>
          <w:sz w:val="28"/>
          <w:szCs w:val="28"/>
        </w:rPr>
        <w:t>PIC/S</w:t>
      </w:r>
      <w:r w:rsidR="008E1BA0" w:rsidRPr="00567212">
        <w:rPr>
          <w:rFonts w:ascii="Times New Roman" w:eastAsia="標楷體" w:hAnsi="標楷體" w:cs="Times New Roman"/>
          <w:kern w:val="0"/>
          <w:sz w:val="28"/>
          <w:szCs w:val="28"/>
        </w:rPr>
        <w:t>）</w:t>
      </w:r>
      <w:r w:rsidRPr="00F177B2">
        <w:rPr>
          <w:rFonts w:ascii="Times New Roman" w:eastAsia="標楷體" w:hAnsi="Times New Roman" w:cs="Times New Roman" w:hint="eastAsia"/>
          <w:bCs/>
          <w:snapToGrid w:val="0"/>
          <w:kern w:val="0"/>
          <w:sz w:val="28"/>
          <w:szCs w:val="28"/>
        </w:rPr>
        <w:t>公布之相關規範。</w:t>
      </w:r>
    </w:p>
    <w:p w:rsidR="001D283A" w:rsidRPr="00F177B2" w:rsidRDefault="008E1BA0" w:rsidP="00D22722">
      <w:pPr>
        <w:spacing w:line="460" w:lineRule="exact"/>
        <w:ind w:firstLine="540"/>
        <w:jc w:val="both"/>
        <w:rPr>
          <w:rFonts w:ascii="Times New Roman" w:eastAsia="標楷體" w:hAnsi="Times New Roman" w:cs="Times New Roman"/>
          <w:bCs/>
          <w:snapToGrid w:val="0"/>
          <w:kern w:val="0"/>
          <w:sz w:val="28"/>
          <w:szCs w:val="28"/>
        </w:rPr>
      </w:pPr>
      <w:r>
        <w:rPr>
          <w:rFonts w:ascii="Times New Roman" w:eastAsia="標楷體" w:hAnsi="Times New Roman" w:cs="Times New Roman" w:hint="eastAsia"/>
          <w:bCs/>
          <w:snapToGrid w:val="0"/>
          <w:kern w:val="0"/>
          <w:sz w:val="28"/>
          <w:szCs w:val="28"/>
        </w:rPr>
        <w:t>為進一步</w:t>
      </w:r>
      <w:r w:rsidR="004F7AB7">
        <w:rPr>
          <w:rFonts w:ascii="Times New Roman" w:eastAsia="標楷體" w:hAnsi="Times New Roman" w:cs="Times New Roman" w:hint="eastAsia"/>
          <w:bCs/>
          <w:snapToGrid w:val="0"/>
          <w:kern w:val="0"/>
          <w:sz w:val="28"/>
          <w:szCs w:val="28"/>
        </w:rPr>
        <w:t>規劃</w:t>
      </w:r>
      <w:r>
        <w:rPr>
          <w:rFonts w:ascii="Times New Roman" w:eastAsia="標楷體" w:hAnsi="Times New Roman" w:cs="Times New Roman" w:hint="eastAsia"/>
          <w:bCs/>
          <w:snapToGrid w:val="0"/>
          <w:kern w:val="0"/>
          <w:sz w:val="28"/>
          <w:szCs w:val="28"/>
        </w:rPr>
        <w:t>藥品於儲存</w:t>
      </w:r>
      <w:r w:rsidR="004F7AB7">
        <w:rPr>
          <w:rFonts w:ascii="Times New Roman" w:eastAsia="標楷體" w:hAnsi="Times New Roman" w:cs="Times New Roman" w:hint="eastAsia"/>
          <w:bCs/>
          <w:snapToGrid w:val="0"/>
          <w:kern w:val="0"/>
          <w:sz w:val="28"/>
          <w:szCs w:val="28"/>
        </w:rPr>
        <w:t>及</w:t>
      </w:r>
      <w:r>
        <w:rPr>
          <w:rFonts w:ascii="Times New Roman" w:eastAsia="標楷體" w:hAnsi="Times New Roman" w:cs="Times New Roman" w:hint="eastAsia"/>
          <w:bCs/>
          <w:snapToGrid w:val="0"/>
          <w:kern w:val="0"/>
          <w:sz w:val="28"/>
          <w:szCs w:val="28"/>
        </w:rPr>
        <w:t>運銷階段之品質與安全性</w:t>
      </w:r>
      <w:r w:rsidR="004F7AB7">
        <w:rPr>
          <w:rFonts w:ascii="Times New Roman" w:eastAsia="標楷體" w:hAnsi="Times New Roman" w:cs="Times New Roman" w:hint="eastAsia"/>
          <w:bCs/>
          <w:snapToGrid w:val="0"/>
          <w:kern w:val="0"/>
          <w:sz w:val="28"/>
          <w:szCs w:val="28"/>
        </w:rPr>
        <w:t>，以</w:t>
      </w:r>
      <w:r>
        <w:rPr>
          <w:rFonts w:ascii="Times New Roman" w:eastAsia="標楷體" w:hAnsi="Times New Roman" w:cs="Times New Roman" w:hint="eastAsia"/>
          <w:bCs/>
          <w:snapToGrid w:val="0"/>
          <w:kern w:val="0"/>
          <w:sz w:val="28"/>
          <w:szCs w:val="28"/>
        </w:rPr>
        <w:t>及維持藥品供應鏈完整性，</w:t>
      </w:r>
      <w:r w:rsidR="001D283A">
        <w:rPr>
          <w:rFonts w:ascii="Times New Roman" w:eastAsia="標楷體" w:hAnsi="Times New Roman" w:cs="Times New Roman" w:hint="eastAsia"/>
          <w:bCs/>
          <w:snapToGrid w:val="0"/>
          <w:kern w:val="0"/>
          <w:sz w:val="28"/>
          <w:szCs w:val="28"/>
        </w:rPr>
        <w:t>PIC/S</w:t>
      </w:r>
      <w:r w:rsidR="001D283A">
        <w:rPr>
          <w:rFonts w:ascii="Times New Roman" w:eastAsia="標楷體" w:hAnsi="Times New Roman" w:cs="Times New Roman" w:hint="eastAsia"/>
          <w:bCs/>
          <w:snapToGrid w:val="0"/>
          <w:kern w:val="0"/>
          <w:sz w:val="28"/>
          <w:szCs w:val="28"/>
        </w:rPr>
        <w:t>組織於一百零三年六月一日公布</w:t>
      </w:r>
      <w:r>
        <w:rPr>
          <w:rFonts w:ascii="Times New Roman" w:eastAsia="標楷體" w:hAnsi="Times New Roman" w:cs="Times New Roman" w:hint="eastAsia"/>
          <w:bCs/>
          <w:snapToGrid w:val="0"/>
          <w:kern w:val="0"/>
          <w:sz w:val="28"/>
          <w:szCs w:val="28"/>
        </w:rPr>
        <w:t>生效</w:t>
      </w:r>
      <w:r w:rsidR="001D283A">
        <w:rPr>
          <w:rFonts w:ascii="Times New Roman" w:eastAsia="標楷體" w:hAnsi="Times New Roman" w:cs="Times New Roman" w:hint="eastAsia"/>
          <w:bCs/>
          <w:snapToGrid w:val="0"/>
          <w:kern w:val="0"/>
          <w:sz w:val="28"/>
          <w:szCs w:val="28"/>
        </w:rPr>
        <w:t>其藥品優良運銷規範，爰</w:t>
      </w:r>
      <w:r w:rsidR="004C3F4C">
        <w:rPr>
          <w:rFonts w:ascii="Times New Roman" w:eastAsia="標楷體" w:hAnsi="Times New Roman" w:cs="Times New Roman" w:hint="eastAsia"/>
          <w:bCs/>
          <w:snapToGrid w:val="0"/>
          <w:kern w:val="0"/>
          <w:sz w:val="28"/>
          <w:szCs w:val="28"/>
        </w:rPr>
        <w:t>擬具</w:t>
      </w:r>
      <w:r w:rsidR="00265475">
        <w:rPr>
          <w:rFonts w:ascii="Times New Roman" w:eastAsia="標楷體" w:hAnsi="Times New Roman" w:cs="Times New Roman" w:hint="eastAsia"/>
          <w:bCs/>
          <w:snapToGrid w:val="0"/>
          <w:kern w:val="0"/>
          <w:sz w:val="28"/>
          <w:szCs w:val="28"/>
        </w:rPr>
        <w:t>「</w:t>
      </w:r>
      <w:r w:rsidR="004C3F4C">
        <w:rPr>
          <w:rFonts w:ascii="Times New Roman" w:eastAsia="標楷體" w:hAnsi="Times New Roman" w:cs="Times New Roman" w:hint="eastAsia"/>
          <w:bCs/>
          <w:snapToGrid w:val="0"/>
          <w:kern w:val="0"/>
          <w:sz w:val="28"/>
          <w:szCs w:val="28"/>
        </w:rPr>
        <w:t>藥物優良製造準則</w:t>
      </w:r>
      <w:r w:rsidR="00265475">
        <w:rPr>
          <w:rFonts w:ascii="Times New Roman" w:eastAsia="標楷體" w:hAnsi="Times New Roman" w:cs="Times New Roman" w:hint="eastAsia"/>
          <w:bCs/>
          <w:snapToGrid w:val="0"/>
          <w:kern w:val="0"/>
          <w:sz w:val="28"/>
          <w:szCs w:val="28"/>
        </w:rPr>
        <w:t>」</w:t>
      </w:r>
      <w:r w:rsidR="001D283A">
        <w:rPr>
          <w:rFonts w:ascii="Times New Roman" w:eastAsia="標楷體" w:hAnsi="Times New Roman" w:cs="Times New Roman" w:hint="eastAsia"/>
          <w:bCs/>
          <w:snapToGrid w:val="0"/>
          <w:kern w:val="0"/>
          <w:sz w:val="28"/>
          <w:szCs w:val="28"/>
        </w:rPr>
        <w:t>第三條</w:t>
      </w:r>
      <w:r w:rsidR="004C3F4C">
        <w:rPr>
          <w:rFonts w:ascii="Times New Roman" w:eastAsia="標楷體" w:hAnsi="Times New Roman" w:cs="Times New Roman" w:hint="eastAsia"/>
          <w:bCs/>
          <w:snapToGrid w:val="0"/>
          <w:kern w:val="0"/>
          <w:sz w:val="28"/>
          <w:szCs w:val="28"/>
        </w:rPr>
        <w:t>修正草案</w:t>
      </w:r>
      <w:r w:rsidR="001D283A">
        <w:rPr>
          <w:rFonts w:ascii="Times New Roman" w:eastAsia="標楷體" w:hAnsi="Times New Roman" w:cs="Times New Roman" w:hint="eastAsia"/>
          <w:bCs/>
          <w:snapToGrid w:val="0"/>
          <w:kern w:val="0"/>
          <w:sz w:val="28"/>
          <w:szCs w:val="28"/>
        </w:rPr>
        <w:t>，明定</w:t>
      </w:r>
      <w:r w:rsidR="004F7AB7">
        <w:rPr>
          <w:rFonts w:ascii="Times New Roman" w:eastAsia="標楷體" w:hAnsi="Times New Roman" w:cs="Times New Roman" w:hint="eastAsia"/>
          <w:bCs/>
          <w:snapToGrid w:val="0"/>
          <w:kern w:val="0"/>
          <w:sz w:val="28"/>
          <w:szCs w:val="28"/>
        </w:rPr>
        <w:t>西藥藥品製造、加工、分裝及包裝、儲存與運銷，</w:t>
      </w:r>
      <w:r w:rsidR="00B80228">
        <w:rPr>
          <w:rFonts w:ascii="Times New Roman" w:eastAsia="標楷體" w:hAnsi="Times New Roman" w:cs="Times New Roman" w:hint="eastAsia"/>
          <w:bCs/>
          <w:snapToGrid w:val="0"/>
          <w:kern w:val="0"/>
          <w:sz w:val="28"/>
          <w:szCs w:val="28"/>
        </w:rPr>
        <w:t>除符合西藥藥品優良製造規範外，</w:t>
      </w:r>
      <w:r w:rsidR="004F7AB7">
        <w:rPr>
          <w:rFonts w:ascii="Times New Roman" w:eastAsia="標楷體" w:hAnsi="Times New Roman" w:cs="Times New Roman" w:hint="eastAsia"/>
          <w:bCs/>
          <w:snapToGrid w:val="0"/>
          <w:kern w:val="0"/>
          <w:sz w:val="28"/>
          <w:szCs w:val="28"/>
        </w:rPr>
        <w:t>亦</w:t>
      </w:r>
      <w:r w:rsidR="001D283A">
        <w:rPr>
          <w:rFonts w:ascii="Times New Roman" w:eastAsia="標楷體" w:hAnsi="Times New Roman" w:cs="Times New Roman" w:hint="eastAsia"/>
          <w:bCs/>
          <w:snapToGrid w:val="0"/>
          <w:kern w:val="0"/>
          <w:sz w:val="28"/>
          <w:szCs w:val="28"/>
        </w:rPr>
        <w:t>應符合</w:t>
      </w:r>
      <w:r>
        <w:rPr>
          <w:rFonts w:ascii="Times New Roman" w:eastAsia="標楷體" w:hAnsi="Times New Roman" w:cs="Times New Roman" w:hint="eastAsia"/>
          <w:bCs/>
          <w:snapToGrid w:val="0"/>
          <w:kern w:val="0"/>
          <w:sz w:val="28"/>
          <w:szCs w:val="28"/>
        </w:rPr>
        <w:t>PIC/S</w:t>
      </w:r>
      <w:r>
        <w:rPr>
          <w:rFonts w:ascii="Times New Roman" w:eastAsia="標楷體" w:hAnsi="Times New Roman" w:cs="Times New Roman" w:hint="eastAsia"/>
          <w:bCs/>
          <w:snapToGrid w:val="0"/>
          <w:kern w:val="0"/>
          <w:sz w:val="28"/>
          <w:szCs w:val="28"/>
        </w:rPr>
        <w:t>組織之</w:t>
      </w:r>
      <w:r w:rsidR="00B80228">
        <w:rPr>
          <w:rFonts w:ascii="Times New Roman" w:eastAsia="標楷體" w:hAnsi="Times New Roman" w:cs="Times New Roman" w:hint="eastAsia"/>
          <w:bCs/>
          <w:snapToGrid w:val="0"/>
          <w:kern w:val="0"/>
          <w:sz w:val="28"/>
          <w:szCs w:val="28"/>
        </w:rPr>
        <w:t>藥品優良運銷規範。</w:t>
      </w:r>
    </w:p>
    <w:p w:rsidR="00D22722" w:rsidRPr="00567212" w:rsidRDefault="00D22722" w:rsidP="00D22722">
      <w:pPr>
        <w:spacing w:line="460" w:lineRule="exact"/>
        <w:ind w:firstLine="540"/>
        <w:jc w:val="both"/>
        <w:rPr>
          <w:rFonts w:ascii="標楷體" w:eastAsia="標楷體" w:hAnsi="Times New Roman" w:cs="標楷體"/>
          <w:kern w:val="0"/>
          <w:sz w:val="28"/>
          <w:szCs w:val="28"/>
        </w:rPr>
      </w:pPr>
      <w:r w:rsidRPr="00F177B2">
        <w:rPr>
          <w:rFonts w:ascii="Times New Roman" w:eastAsia="標楷體" w:hAnsi="Times New Roman" w:cs="Times New Roman"/>
          <w:bCs/>
          <w:snapToGrid w:val="0"/>
          <w:kern w:val="0"/>
          <w:sz w:val="28"/>
          <w:szCs w:val="28"/>
        </w:rPr>
        <w:br w:type="page"/>
      </w:r>
      <w:r w:rsidRPr="00567212">
        <w:rPr>
          <w:rFonts w:ascii="Times New Roman" w:eastAsia="標楷體" w:hAnsi="Times New Roman" w:cs="Times New Roman"/>
          <w:sz w:val="40"/>
          <w:szCs w:val="40"/>
        </w:rPr>
        <w:lastRenderedPageBreak/>
        <w:t>藥物</w:t>
      </w:r>
      <w:r>
        <w:rPr>
          <w:rFonts w:ascii="Times New Roman" w:eastAsia="標楷體" w:hAnsi="Times New Roman" w:cs="Times New Roman" w:hint="eastAsia"/>
          <w:sz w:val="40"/>
          <w:szCs w:val="40"/>
        </w:rPr>
        <w:t>優良製造準則第三條</w:t>
      </w:r>
      <w:r w:rsidRPr="00567212">
        <w:rPr>
          <w:rFonts w:ascii="Times New Roman" w:eastAsia="標楷體" w:hAnsi="Times New Roman" w:cs="Times New Roman"/>
          <w:kern w:val="0"/>
          <w:sz w:val="40"/>
          <w:szCs w:val="40"/>
        </w:rPr>
        <w:t>修正</w:t>
      </w:r>
      <w:r w:rsidR="001D283A">
        <w:rPr>
          <w:rFonts w:ascii="Times New Roman" w:eastAsia="標楷體" w:hAnsi="Times New Roman" w:cs="Times New Roman" w:hint="eastAsia"/>
          <w:kern w:val="0"/>
          <w:sz w:val="40"/>
          <w:szCs w:val="40"/>
        </w:rPr>
        <w:t>草案</w:t>
      </w:r>
      <w:r w:rsidRPr="00567212">
        <w:rPr>
          <w:rFonts w:ascii="Times New Roman" w:eastAsia="標楷體" w:hAnsi="Times New Roman" w:cs="Times New Roman"/>
          <w:snapToGrid w:val="0"/>
          <w:kern w:val="0"/>
          <w:sz w:val="40"/>
          <w:szCs w:val="40"/>
        </w:rPr>
        <w:t>條文對照表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2947"/>
        <w:gridCol w:w="2948"/>
        <w:gridCol w:w="2948"/>
      </w:tblGrid>
      <w:tr w:rsidR="00D22722" w:rsidRPr="00567212" w:rsidTr="00F177B2">
        <w:tc>
          <w:tcPr>
            <w:tcW w:w="1666" w:type="pct"/>
            <w:tcBorders>
              <w:top w:val="single" w:sz="4" w:space="0" w:color="auto"/>
              <w:left w:val="single" w:sz="4" w:space="0" w:color="auto"/>
              <w:bottom w:val="single" w:sz="4" w:space="0" w:color="auto"/>
              <w:right w:val="single" w:sz="4" w:space="0" w:color="auto"/>
            </w:tcBorders>
          </w:tcPr>
          <w:p w:rsidR="00D22722" w:rsidRPr="00567212" w:rsidRDefault="00D22722" w:rsidP="00F177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Times New Roman" w:eastAsia="標楷體" w:hAnsi="Times New Roman" w:cs="Times New Roman"/>
                <w:bCs/>
                <w:szCs w:val="28"/>
              </w:rPr>
            </w:pPr>
            <w:r w:rsidRPr="00567212">
              <w:rPr>
                <w:rFonts w:ascii="Times New Roman" w:eastAsia="標楷體" w:hAnsi="標楷體" w:cs="Times New Roman"/>
                <w:bCs/>
                <w:szCs w:val="28"/>
              </w:rPr>
              <w:t>修　正　條　文</w:t>
            </w:r>
          </w:p>
        </w:tc>
        <w:tc>
          <w:tcPr>
            <w:tcW w:w="1667" w:type="pct"/>
            <w:tcBorders>
              <w:top w:val="single" w:sz="4" w:space="0" w:color="auto"/>
              <w:left w:val="single" w:sz="4" w:space="0" w:color="auto"/>
              <w:bottom w:val="single" w:sz="4" w:space="0" w:color="auto"/>
              <w:right w:val="single" w:sz="4" w:space="0" w:color="auto"/>
            </w:tcBorders>
          </w:tcPr>
          <w:p w:rsidR="00D22722" w:rsidRPr="00567212" w:rsidRDefault="00D22722" w:rsidP="00F177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Times New Roman" w:eastAsia="標楷體" w:hAnsi="Times New Roman" w:cs="Times New Roman"/>
                <w:bCs/>
                <w:snapToGrid w:val="0"/>
                <w:kern w:val="0"/>
                <w:szCs w:val="28"/>
              </w:rPr>
            </w:pPr>
            <w:r w:rsidRPr="00567212">
              <w:rPr>
                <w:rFonts w:ascii="Times New Roman" w:eastAsia="標楷體" w:hAnsi="標楷體" w:cs="Times New Roman"/>
                <w:bCs/>
                <w:snapToGrid w:val="0"/>
                <w:kern w:val="0"/>
                <w:szCs w:val="28"/>
              </w:rPr>
              <w:t>現　行　條　文</w:t>
            </w:r>
          </w:p>
        </w:tc>
        <w:tc>
          <w:tcPr>
            <w:tcW w:w="1667" w:type="pct"/>
            <w:tcBorders>
              <w:top w:val="single" w:sz="4" w:space="0" w:color="auto"/>
              <w:left w:val="single" w:sz="4" w:space="0" w:color="auto"/>
              <w:bottom w:val="single" w:sz="4" w:space="0" w:color="auto"/>
              <w:right w:val="single" w:sz="4" w:space="0" w:color="auto"/>
            </w:tcBorders>
          </w:tcPr>
          <w:p w:rsidR="00D22722" w:rsidRPr="00567212" w:rsidRDefault="00D22722" w:rsidP="00F177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Times New Roman" w:eastAsia="標楷體" w:hAnsi="Times New Roman" w:cs="Times New Roman"/>
                <w:bCs/>
                <w:snapToGrid w:val="0"/>
                <w:kern w:val="0"/>
                <w:szCs w:val="28"/>
              </w:rPr>
            </w:pPr>
            <w:r w:rsidRPr="00567212">
              <w:rPr>
                <w:rFonts w:ascii="Times New Roman" w:eastAsia="標楷體" w:hAnsi="標楷體" w:cs="Times New Roman"/>
                <w:bCs/>
                <w:snapToGrid w:val="0"/>
                <w:kern w:val="0"/>
                <w:szCs w:val="28"/>
              </w:rPr>
              <w:t>說　　　　　明</w:t>
            </w:r>
          </w:p>
        </w:tc>
      </w:tr>
      <w:tr w:rsidR="00D22722" w:rsidRPr="00F177B2" w:rsidTr="00F177B2">
        <w:tc>
          <w:tcPr>
            <w:tcW w:w="1666" w:type="pct"/>
          </w:tcPr>
          <w:p w:rsidR="00D22722" w:rsidRPr="00B62F6D" w:rsidRDefault="00D22722" w:rsidP="004C3F4C">
            <w:pPr>
              <w:widowControl/>
              <w:adjustRightInd w:val="0"/>
              <w:snapToGrid w:val="0"/>
              <w:ind w:left="223" w:hangingChars="93" w:hanging="223"/>
              <w:jc w:val="both"/>
              <w:rPr>
                <w:rFonts w:ascii="Times New Roman" w:eastAsia="標楷體" w:hAnsi="Times New Roman" w:cs="Times New Roman"/>
                <w:kern w:val="0"/>
              </w:rPr>
            </w:pPr>
            <w:r w:rsidRPr="00B62F6D">
              <w:rPr>
                <w:rFonts w:ascii="Times New Roman" w:eastAsia="標楷體" w:hAnsi="Times New Roman" w:cs="Times New Roman"/>
                <w:bCs/>
                <w:snapToGrid w:val="0"/>
                <w:kern w:val="0"/>
              </w:rPr>
              <w:t>第三條</w:t>
            </w:r>
            <w:r w:rsidRPr="00B62F6D">
              <w:rPr>
                <w:rFonts w:ascii="Times New Roman" w:eastAsia="標楷體" w:hAnsi="Times New Roman" w:cs="Times New Roman"/>
                <w:bCs/>
                <w:snapToGrid w:val="0"/>
                <w:kern w:val="0"/>
              </w:rPr>
              <w:t xml:space="preserve">  </w:t>
            </w:r>
            <w:r w:rsidRPr="00B62F6D">
              <w:rPr>
                <w:rFonts w:ascii="Times New Roman" w:eastAsia="標楷體" w:hAnsi="Times New Roman" w:cs="Times New Roman"/>
                <w:bCs/>
                <w:snapToGrid w:val="0"/>
                <w:kern w:val="0"/>
              </w:rPr>
              <w:t>西藥藥品含外銷專用產品之製造、加工、分裝、包裝</w:t>
            </w:r>
            <w:r w:rsidRPr="000C4331">
              <w:rPr>
                <w:rFonts w:ascii="Times New Roman" w:eastAsia="標楷體" w:hAnsi="Times New Roman" w:cs="Times New Roman"/>
                <w:bCs/>
                <w:snapToGrid w:val="0"/>
                <w:kern w:val="0"/>
              </w:rPr>
              <w:t>、儲存及運銷</w:t>
            </w:r>
            <w:r w:rsidRPr="00B62F6D">
              <w:rPr>
                <w:rFonts w:ascii="Times New Roman" w:eastAsia="標楷體" w:hAnsi="Times New Roman" w:cs="Times New Roman"/>
                <w:bCs/>
                <w:snapToGrid w:val="0"/>
                <w:kern w:val="0"/>
              </w:rPr>
              <w:t>，應符合中央衛生主管機關參照國際醫藥品稽查協約組織（</w:t>
            </w:r>
            <w:r w:rsidRPr="00B62F6D">
              <w:rPr>
                <w:rFonts w:ascii="Times New Roman" w:eastAsia="標楷體" w:hAnsi="Times New Roman" w:cs="Times New Roman"/>
                <w:bCs/>
                <w:snapToGrid w:val="0"/>
                <w:kern w:val="0"/>
              </w:rPr>
              <w:t>PIC/S</w:t>
            </w:r>
            <w:r w:rsidRPr="00B62F6D">
              <w:rPr>
                <w:rFonts w:ascii="Times New Roman" w:eastAsia="標楷體" w:hAnsi="Times New Roman" w:cs="Times New Roman"/>
                <w:bCs/>
                <w:snapToGrid w:val="0"/>
                <w:kern w:val="0"/>
              </w:rPr>
              <w:t>）</w:t>
            </w:r>
            <w:r w:rsidRPr="000C4331">
              <w:rPr>
                <w:rFonts w:ascii="Times New Roman" w:eastAsia="標楷體" w:hAnsi="Times New Roman" w:cs="Times New Roman" w:hint="eastAsia"/>
                <w:bCs/>
                <w:snapToGrid w:val="0"/>
                <w:kern w:val="0"/>
              </w:rPr>
              <w:t>其</w:t>
            </w:r>
            <w:r w:rsidRPr="000C4331">
              <w:rPr>
                <w:rFonts w:ascii="Times New Roman" w:eastAsia="標楷體" w:hAnsi="Times New Roman" w:cs="Times New Roman"/>
                <w:bCs/>
                <w:snapToGrid w:val="0"/>
                <w:kern w:val="0"/>
              </w:rPr>
              <w:t>規範</w:t>
            </w:r>
            <w:r w:rsidRPr="00B62F6D">
              <w:rPr>
                <w:rFonts w:ascii="Times New Roman" w:eastAsia="標楷體" w:hAnsi="Times New Roman" w:cs="Times New Roman"/>
                <w:bCs/>
                <w:snapToGrid w:val="0"/>
                <w:kern w:val="0"/>
              </w:rPr>
              <w:t>所訂定之</w:t>
            </w:r>
            <w:r w:rsidRPr="00A44EF9">
              <w:rPr>
                <w:rFonts w:ascii="Times New Roman" w:eastAsia="標楷體" w:hAnsi="Times New Roman" w:cs="Times New Roman" w:hint="eastAsia"/>
                <w:bCs/>
                <w:snapToGrid w:val="0"/>
                <w:kern w:val="0"/>
              </w:rPr>
              <w:t>西藥藥品優良製造</w:t>
            </w:r>
            <w:r w:rsidRPr="00B62F6D">
              <w:rPr>
                <w:rFonts w:ascii="Times New Roman" w:eastAsia="標楷體" w:hAnsi="Times New Roman" w:cs="Times New Roman"/>
                <w:bCs/>
                <w:snapToGrid w:val="0"/>
                <w:kern w:val="0"/>
              </w:rPr>
              <w:t>規範</w:t>
            </w:r>
            <w:r w:rsidR="000C4331" w:rsidRPr="000C4331">
              <w:rPr>
                <w:rFonts w:ascii="Times New Roman" w:eastAsia="標楷體" w:hAnsi="Times New Roman" w:cs="Times New Roman" w:hint="eastAsia"/>
                <w:bCs/>
                <w:snapToGrid w:val="0"/>
                <w:kern w:val="0"/>
                <w:u w:val="single"/>
              </w:rPr>
              <w:t>及</w:t>
            </w:r>
            <w:r w:rsidR="0033577E">
              <w:rPr>
                <w:rFonts w:ascii="Times New Roman" w:eastAsia="標楷體" w:hAnsi="Times New Roman" w:cs="Times New Roman" w:hint="eastAsia"/>
                <w:bCs/>
                <w:snapToGrid w:val="0"/>
                <w:kern w:val="0"/>
                <w:u w:val="single"/>
              </w:rPr>
              <w:t>其</w:t>
            </w:r>
            <w:r w:rsidR="000C4331" w:rsidRPr="000C4331">
              <w:rPr>
                <w:rFonts w:ascii="Times New Roman" w:eastAsia="標楷體" w:hAnsi="Times New Roman" w:cs="Times New Roman" w:hint="eastAsia"/>
                <w:bCs/>
                <w:snapToGrid w:val="0"/>
                <w:kern w:val="0"/>
                <w:u w:val="single"/>
              </w:rPr>
              <w:t>優良運銷規範</w:t>
            </w:r>
            <w:r w:rsidRPr="00B62F6D">
              <w:rPr>
                <w:rFonts w:ascii="Times New Roman" w:eastAsia="標楷體" w:hAnsi="Times New Roman" w:cs="Times New Roman"/>
                <w:bCs/>
                <w:snapToGrid w:val="0"/>
                <w:kern w:val="0"/>
              </w:rPr>
              <w:t>。該規範之適用，得分階段施行；其分階段施行之項目、時程，由中央衛生主管機關公告之。</w:t>
            </w:r>
          </w:p>
        </w:tc>
        <w:tc>
          <w:tcPr>
            <w:tcW w:w="1667" w:type="pct"/>
          </w:tcPr>
          <w:p w:rsidR="00D22722" w:rsidRPr="00B62F6D" w:rsidRDefault="00D22722" w:rsidP="004C3F4C">
            <w:pPr>
              <w:widowControl/>
              <w:adjustRightInd w:val="0"/>
              <w:snapToGrid w:val="0"/>
              <w:ind w:left="223" w:hangingChars="93" w:hanging="223"/>
              <w:jc w:val="both"/>
              <w:rPr>
                <w:rFonts w:ascii="Times New Roman" w:eastAsia="標楷體" w:hAnsi="Times New Roman" w:cs="Times New Roman"/>
                <w:kern w:val="0"/>
              </w:rPr>
            </w:pPr>
            <w:r w:rsidRPr="00B62F6D">
              <w:rPr>
                <w:rFonts w:ascii="Times New Roman" w:eastAsia="標楷體" w:hAnsi="Times New Roman" w:cs="Times New Roman"/>
                <w:bCs/>
                <w:snapToGrid w:val="0"/>
                <w:kern w:val="0"/>
              </w:rPr>
              <w:t>第三條</w:t>
            </w:r>
            <w:r w:rsidRPr="00B62F6D">
              <w:rPr>
                <w:rFonts w:ascii="Times New Roman" w:eastAsia="標楷體" w:hAnsi="Times New Roman" w:cs="Times New Roman"/>
                <w:bCs/>
                <w:snapToGrid w:val="0"/>
                <w:kern w:val="0"/>
              </w:rPr>
              <w:t xml:space="preserve">  </w:t>
            </w:r>
            <w:r w:rsidR="000C4331" w:rsidRPr="000C4331">
              <w:rPr>
                <w:rFonts w:ascii="Times New Roman" w:eastAsia="標楷體" w:hAnsi="Times New Roman" w:cs="Times New Roman" w:hint="eastAsia"/>
                <w:bCs/>
                <w:snapToGrid w:val="0"/>
                <w:kern w:val="0"/>
              </w:rPr>
              <w:t>西藥藥品含外銷專用產品之製造、加工、分裝、包裝、儲存及運銷，應符合中央衛生主管機關參照國際醫藥品稽查協約組織（</w:t>
            </w:r>
            <w:r w:rsidR="000C4331" w:rsidRPr="000C4331">
              <w:rPr>
                <w:rFonts w:ascii="Times New Roman" w:eastAsia="標楷體" w:hAnsi="Times New Roman" w:cs="Times New Roman" w:hint="eastAsia"/>
                <w:bCs/>
                <w:snapToGrid w:val="0"/>
                <w:kern w:val="0"/>
              </w:rPr>
              <w:t>PIC/S</w:t>
            </w:r>
            <w:r w:rsidR="000C4331" w:rsidRPr="000C4331">
              <w:rPr>
                <w:rFonts w:ascii="Times New Roman" w:eastAsia="標楷體" w:hAnsi="Times New Roman" w:cs="Times New Roman" w:hint="eastAsia"/>
                <w:bCs/>
                <w:snapToGrid w:val="0"/>
                <w:kern w:val="0"/>
              </w:rPr>
              <w:t>）其規範所訂定之西藥藥品優良製造規範。該規範之適用，得分階段施行；其分階段施行之項目、時程，由中央衛生主管機關公告之。</w:t>
            </w:r>
          </w:p>
        </w:tc>
        <w:tc>
          <w:tcPr>
            <w:tcW w:w="1667" w:type="pct"/>
          </w:tcPr>
          <w:p w:rsidR="00D22722" w:rsidRPr="00B62F6D" w:rsidRDefault="008E1BA0" w:rsidP="004C3F4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both"/>
              <w:rPr>
                <w:rFonts w:ascii="Times New Roman" w:eastAsia="標楷體" w:hAnsi="Times New Roman" w:cs="Times New Roman"/>
                <w:bCs/>
                <w:snapToGrid w:val="0"/>
                <w:kern w:val="0"/>
              </w:rPr>
            </w:pPr>
            <w:r w:rsidRPr="008E1BA0">
              <w:rPr>
                <w:rFonts w:ascii="Times New Roman" w:eastAsia="標楷體" w:hAnsi="Times New Roman" w:cs="Times New Roman" w:hint="eastAsia"/>
                <w:kern w:val="0"/>
              </w:rPr>
              <w:t>為完善藥品於儲存運銷階段之品質與安全性及維持藥品供應鏈完整性，</w:t>
            </w:r>
            <w:r>
              <w:rPr>
                <w:rFonts w:ascii="Times New Roman" w:eastAsia="標楷體" w:hAnsi="Times New Roman" w:cs="Times New Roman" w:hint="eastAsia"/>
                <w:kern w:val="0"/>
              </w:rPr>
              <w:t>另，配合</w:t>
            </w:r>
            <w:r w:rsidRPr="008E1BA0">
              <w:rPr>
                <w:rFonts w:ascii="Times New Roman" w:eastAsia="標楷體" w:hAnsi="Times New Roman" w:cs="Times New Roman" w:hint="eastAsia"/>
                <w:kern w:val="0"/>
              </w:rPr>
              <w:t>PIC/S</w:t>
            </w:r>
            <w:r w:rsidRPr="008E1BA0">
              <w:rPr>
                <w:rFonts w:ascii="Times New Roman" w:eastAsia="標楷體" w:hAnsi="Times New Roman" w:cs="Times New Roman" w:hint="eastAsia"/>
                <w:kern w:val="0"/>
              </w:rPr>
              <w:t>組織於一百零三年六月一日公布生效其藥品優良運銷規範，爰修正第三條，明定除符合西藥藥品優良製造規範外，應符合</w:t>
            </w:r>
            <w:r w:rsidRPr="008E1BA0">
              <w:rPr>
                <w:rFonts w:ascii="Times New Roman" w:eastAsia="標楷體" w:hAnsi="Times New Roman" w:cs="Times New Roman" w:hint="eastAsia"/>
                <w:kern w:val="0"/>
              </w:rPr>
              <w:t>PIC/S</w:t>
            </w:r>
            <w:r w:rsidRPr="008E1BA0">
              <w:rPr>
                <w:rFonts w:ascii="Times New Roman" w:eastAsia="標楷體" w:hAnsi="Times New Roman" w:cs="Times New Roman" w:hint="eastAsia"/>
                <w:kern w:val="0"/>
              </w:rPr>
              <w:t>組織之藥品優良運銷規範。</w:t>
            </w:r>
          </w:p>
        </w:tc>
      </w:tr>
    </w:tbl>
    <w:p w:rsidR="00D22722" w:rsidRDefault="00D22722" w:rsidP="00D22722">
      <w:pPr>
        <w:rPr>
          <w:rFonts w:ascii="Times New Roman" w:eastAsia="標楷體" w:hAnsi="Times New Roman" w:cs="Times New Roman"/>
          <w:bCs/>
          <w:snapToGrid w:val="0"/>
          <w:kern w:val="0"/>
          <w:sz w:val="40"/>
          <w:szCs w:val="40"/>
        </w:rPr>
      </w:pPr>
    </w:p>
    <w:p w:rsidR="00D22722" w:rsidRDefault="00D22722" w:rsidP="00D22722">
      <w:pPr>
        <w:rPr>
          <w:rFonts w:ascii="Times New Roman" w:eastAsia="標楷體" w:hAnsi="Times New Roman" w:cs="Times New Roman"/>
          <w:bCs/>
          <w:snapToGrid w:val="0"/>
          <w:kern w:val="0"/>
          <w:sz w:val="40"/>
          <w:szCs w:val="40"/>
        </w:rPr>
      </w:pPr>
    </w:p>
    <w:p w:rsidR="00D22722" w:rsidRPr="0066687B" w:rsidRDefault="00D22722" w:rsidP="00D22722">
      <w:pPr>
        <w:rPr>
          <w:rFonts w:ascii="Times New Roman" w:eastAsia="標楷體" w:hAnsi="Times New Roman" w:cs="Times New Roman"/>
          <w:bCs/>
          <w:snapToGrid w:val="0"/>
          <w:kern w:val="0"/>
          <w:sz w:val="40"/>
          <w:szCs w:val="40"/>
        </w:rPr>
      </w:pPr>
    </w:p>
    <w:p w:rsidR="0040451F" w:rsidRPr="00D22722" w:rsidRDefault="00AC26FC"/>
    <w:sectPr w:rsidR="0040451F" w:rsidRPr="00D22722" w:rsidSect="008C34B7">
      <w:footerReference w:type="even" r:id="rId6"/>
      <w:footerReference w:type="default" r:id="rId7"/>
      <w:pgSz w:w="11906" w:h="16838"/>
      <w:pgMar w:top="1418" w:right="1418" w:bottom="1418"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63EAC" w:rsidRDefault="00063EAC">
      <w:r>
        <w:separator/>
      </w:r>
    </w:p>
  </w:endnote>
  <w:endnote w:type="continuationSeparator" w:id="1">
    <w:p w:rsidR="00063EAC" w:rsidRDefault="00063EA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7CBC" w:rsidRDefault="008042B9">
    <w:pPr>
      <w:pStyle w:val="a3"/>
      <w:framePr w:wrap="around" w:vAnchor="text" w:hAnchor="margin" w:xAlign="center" w:y="1"/>
      <w:rPr>
        <w:rStyle w:val="a5"/>
      </w:rPr>
    </w:pPr>
    <w:r>
      <w:rPr>
        <w:rStyle w:val="a5"/>
      </w:rPr>
      <w:fldChar w:fldCharType="begin"/>
    </w:r>
    <w:r w:rsidR="00D22722">
      <w:rPr>
        <w:rStyle w:val="a5"/>
      </w:rPr>
      <w:instrText xml:space="preserve">PAGE  </w:instrText>
    </w:r>
    <w:r>
      <w:rPr>
        <w:rStyle w:val="a5"/>
      </w:rPr>
      <w:fldChar w:fldCharType="end"/>
    </w:r>
  </w:p>
  <w:p w:rsidR="004F7CBC" w:rsidRDefault="008042B9">
    <w:pPr>
      <w:pStyle w:val="a3"/>
      <w:framePr w:wrap="around" w:vAnchor="text" w:hAnchor="margin" w:xAlign="center" w:y="1"/>
      <w:rPr>
        <w:rStyle w:val="a5"/>
      </w:rPr>
    </w:pPr>
    <w:r>
      <w:rPr>
        <w:rStyle w:val="a5"/>
      </w:rPr>
      <w:fldChar w:fldCharType="begin"/>
    </w:r>
    <w:r w:rsidR="00D22722">
      <w:rPr>
        <w:rStyle w:val="a5"/>
      </w:rPr>
      <w:instrText xml:space="preserve">PAGE  </w:instrText>
    </w:r>
    <w:r>
      <w:rPr>
        <w:rStyle w:val="a5"/>
      </w:rPr>
      <w:fldChar w:fldCharType="end"/>
    </w:r>
  </w:p>
  <w:p w:rsidR="004F7CBC" w:rsidRDefault="00AC26FC">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7CBC" w:rsidRPr="003A7856" w:rsidRDefault="008042B9">
    <w:pPr>
      <w:pStyle w:val="a3"/>
      <w:framePr w:wrap="around" w:vAnchor="text" w:hAnchor="margin" w:xAlign="center" w:y="1"/>
      <w:ind w:firstLineChars="2100" w:firstLine="4200"/>
      <w:rPr>
        <w:rStyle w:val="a5"/>
        <w:rFonts w:ascii="Times New Roman" w:hAnsi="Times New Roman"/>
      </w:rPr>
    </w:pPr>
    <w:r w:rsidRPr="003A7856">
      <w:rPr>
        <w:rStyle w:val="a5"/>
        <w:rFonts w:ascii="Times New Roman" w:hAnsi="Times New Roman"/>
      </w:rPr>
      <w:fldChar w:fldCharType="begin"/>
    </w:r>
    <w:r w:rsidR="00D22722" w:rsidRPr="003A7856">
      <w:rPr>
        <w:rStyle w:val="a5"/>
        <w:rFonts w:ascii="Times New Roman" w:hAnsi="Times New Roman"/>
      </w:rPr>
      <w:instrText xml:space="preserve">PAGE  </w:instrText>
    </w:r>
    <w:r w:rsidRPr="003A7856">
      <w:rPr>
        <w:rStyle w:val="a5"/>
        <w:rFonts w:ascii="Times New Roman" w:hAnsi="Times New Roman"/>
      </w:rPr>
      <w:fldChar w:fldCharType="separate"/>
    </w:r>
    <w:r w:rsidR="00AC26FC">
      <w:rPr>
        <w:rStyle w:val="a5"/>
        <w:rFonts w:ascii="Times New Roman" w:hAnsi="Times New Roman"/>
        <w:noProof/>
      </w:rPr>
      <w:t>1</w:t>
    </w:r>
    <w:r w:rsidRPr="003A7856">
      <w:rPr>
        <w:rStyle w:val="a5"/>
        <w:rFonts w:ascii="Times New Roman" w:hAnsi="Times New Roman"/>
      </w:rPr>
      <w:fldChar w:fldCharType="end"/>
    </w:r>
  </w:p>
  <w:p w:rsidR="004F7CBC" w:rsidRDefault="00AC26FC">
    <w:pPr>
      <w:pStyle w:val="a3"/>
      <w:framePr w:wrap="around" w:vAnchor="text" w:hAnchor="margin" w:xAlign="center" w:y="1"/>
      <w:rPr>
        <w:rStyle w:val="a5"/>
      </w:rPr>
    </w:pPr>
  </w:p>
  <w:p w:rsidR="004F7CBC" w:rsidRDefault="00AC26FC">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63EAC" w:rsidRDefault="00063EAC">
      <w:r>
        <w:separator/>
      </w:r>
    </w:p>
  </w:footnote>
  <w:footnote w:type="continuationSeparator" w:id="1">
    <w:p w:rsidR="00063EAC" w:rsidRDefault="00063EA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80"/>
  <w:displayHorizontalDrawingGridEvery w:val="0"/>
  <w:displayVerticalDrawingGridEvery w:val="2"/>
  <w:characterSpacingControl w:val="compressPunctuation"/>
  <w:hdrShapeDefaults>
    <o:shapedefaults v:ext="edit" spidmax="4097"/>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22722"/>
    <w:rsid w:val="00063EAC"/>
    <w:rsid w:val="000C4331"/>
    <w:rsid w:val="001221F9"/>
    <w:rsid w:val="001D283A"/>
    <w:rsid w:val="00265475"/>
    <w:rsid w:val="00293F1A"/>
    <w:rsid w:val="0033577E"/>
    <w:rsid w:val="0035490B"/>
    <w:rsid w:val="00452464"/>
    <w:rsid w:val="004C3F4C"/>
    <w:rsid w:val="004F7AB7"/>
    <w:rsid w:val="005378D4"/>
    <w:rsid w:val="005852E2"/>
    <w:rsid w:val="00587F60"/>
    <w:rsid w:val="005B3E88"/>
    <w:rsid w:val="00673AB6"/>
    <w:rsid w:val="008042B9"/>
    <w:rsid w:val="008B2566"/>
    <w:rsid w:val="008E1BA0"/>
    <w:rsid w:val="009027DC"/>
    <w:rsid w:val="00963BF1"/>
    <w:rsid w:val="00AC26FC"/>
    <w:rsid w:val="00B32BE0"/>
    <w:rsid w:val="00B76A49"/>
    <w:rsid w:val="00B80228"/>
    <w:rsid w:val="00D22722"/>
    <w:rsid w:val="00D43E94"/>
    <w:rsid w:val="00D6689D"/>
    <w:rsid w:val="00DC189C"/>
    <w:rsid w:val="00F47AE9"/>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2722"/>
    <w:pPr>
      <w:widowControl w:val="0"/>
    </w:pPr>
    <w:rPr>
      <w:rFonts w:ascii="Calibri" w:eastAsia="新細明體" w:hAnsi="Calibri" w:cs="Calibri"/>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D22722"/>
    <w:pPr>
      <w:tabs>
        <w:tab w:val="center" w:pos="4153"/>
        <w:tab w:val="right" w:pos="8306"/>
      </w:tabs>
      <w:snapToGrid w:val="0"/>
    </w:pPr>
    <w:rPr>
      <w:sz w:val="20"/>
      <w:szCs w:val="20"/>
    </w:rPr>
  </w:style>
  <w:style w:type="character" w:customStyle="1" w:styleId="a4">
    <w:name w:val="頁尾 字元"/>
    <w:basedOn w:val="a0"/>
    <w:link w:val="a3"/>
    <w:rsid w:val="00D22722"/>
    <w:rPr>
      <w:rFonts w:ascii="Calibri" w:eastAsia="新細明體" w:hAnsi="Calibri" w:cs="Calibri"/>
      <w:sz w:val="20"/>
      <w:szCs w:val="20"/>
    </w:rPr>
  </w:style>
  <w:style w:type="character" w:styleId="a5">
    <w:name w:val="page number"/>
    <w:basedOn w:val="a0"/>
    <w:rsid w:val="00D22722"/>
  </w:style>
  <w:style w:type="paragraph" w:styleId="a6">
    <w:name w:val="header"/>
    <w:basedOn w:val="a"/>
    <w:link w:val="a7"/>
    <w:uiPriority w:val="99"/>
    <w:unhideWhenUsed/>
    <w:rsid w:val="00293F1A"/>
    <w:pPr>
      <w:tabs>
        <w:tab w:val="center" w:pos="4153"/>
        <w:tab w:val="right" w:pos="8306"/>
      </w:tabs>
      <w:snapToGrid w:val="0"/>
    </w:pPr>
    <w:rPr>
      <w:sz w:val="20"/>
      <w:szCs w:val="20"/>
    </w:rPr>
  </w:style>
  <w:style w:type="character" w:customStyle="1" w:styleId="a7">
    <w:name w:val="頁首 字元"/>
    <w:basedOn w:val="a0"/>
    <w:link w:val="a6"/>
    <w:uiPriority w:val="99"/>
    <w:rsid w:val="00293F1A"/>
    <w:rPr>
      <w:rFonts w:ascii="Calibri" w:eastAsia="新細明體" w:hAnsi="Calibri" w:cs="Calibri"/>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2722"/>
    <w:pPr>
      <w:widowControl w:val="0"/>
    </w:pPr>
    <w:rPr>
      <w:rFonts w:ascii="Calibri" w:eastAsia="新細明體" w:hAnsi="Calibri" w:cs="Calibri"/>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D22722"/>
    <w:pPr>
      <w:tabs>
        <w:tab w:val="center" w:pos="4153"/>
        <w:tab w:val="right" w:pos="8306"/>
      </w:tabs>
      <w:snapToGrid w:val="0"/>
    </w:pPr>
    <w:rPr>
      <w:sz w:val="20"/>
      <w:szCs w:val="20"/>
    </w:rPr>
  </w:style>
  <w:style w:type="character" w:customStyle="1" w:styleId="a4">
    <w:name w:val="頁尾 字元"/>
    <w:basedOn w:val="a0"/>
    <w:link w:val="a3"/>
    <w:rsid w:val="00D22722"/>
    <w:rPr>
      <w:rFonts w:ascii="Calibri" w:eastAsia="新細明體" w:hAnsi="Calibri" w:cs="Calibri"/>
      <w:sz w:val="20"/>
      <w:szCs w:val="20"/>
    </w:rPr>
  </w:style>
  <w:style w:type="character" w:styleId="a5">
    <w:name w:val="page number"/>
    <w:basedOn w:val="a0"/>
    <w:rsid w:val="00D22722"/>
  </w:style>
  <w:style w:type="paragraph" w:styleId="a6">
    <w:name w:val="header"/>
    <w:basedOn w:val="a"/>
    <w:link w:val="a7"/>
    <w:uiPriority w:val="99"/>
    <w:unhideWhenUsed/>
    <w:rsid w:val="00293F1A"/>
    <w:pPr>
      <w:tabs>
        <w:tab w:val="center" w:pos="4153"/>
        <w:tab w:val="right" w:pos="8306"/>
      </w:tabs>
      <w:snapToGrid w:val="0"/>
    </w:pPr>
    <w:rPr>
      <w:sz w:val="20"/>
      <w:szCs w:val="20"/>
    </w:rPr>
  </w:style>
  <w:style w:type="character" w:customStyle="1" w:styleId="a7">
    <w:name w:val="頁首 字元"/>
    <w:basedOn w:val="a0"/>
    <w:link w:val="a6"/>
    <w:uiPriority w:val="99"/>
    <w:rsid w:val="00293F1A"/>
    <w:rPr>
      <w:rFonts w:ascii="Calibri" w:eastAsia="新細明體" w:hAnsi="Calibri" w:cs="Calibri"/>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microsoft.com/office/2007/relationships/stylesWithEffects" Target="stylesWithEffect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112</Words>
  <Characters>639</Characters>
  <Application>Microsoft Office Word</Application>
  <DocSecurity>0</DocSecurity>
  <Lines>5</Lines>
  <Paragraphs>1</Paragraphs>
  <ScaleCrop>false</ScaleCrop>
  <Company/>
  <LinksUpToDate>false</LinksUpToDate>
  <CharactersWithSpaces>750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林中豪</dc:creator>
  <cp:lastModifiedBy>user</cp:lastModifiedBy>
  <cp:revision>2</cp:revision>
  <cp:lastPrinted>2014-09-03T07:25:00Z</cp:lastPrinted>
  <dcterms:created xsi:type="dcterms:W3CDTF">2014-10-03T09:15:00Z</dcterms:created>
  <dcterms:modified xsi:type="dcterms:W3CDTF">2014-10-03T09:15:00Z</dcterms:modified>
</cp:coreProperties>
</file>