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1EB" w:rsidRDefault="00FC21EB" w:rsidP="00FC21EB">
      <w:pPr>
        <w:spacing w:line="460" w:lineRule="exact"/>
        <w:ind w:right="-2"/>
        <w:jc w:val="center"/>
        <w:rPr>
          <w:rFonts w:ascii="標楷體" w:eastAsia="標楷體" w:hAnsi="標楷體" w:cs="標楷體"/>
          <w:sz w:val="40"/>
        </w:rPr>
      </w:pPr>
      <w:bookmarkStart w:id="0" w:name="_GoBack"/>
      <w:bookmarkEnd w:id="0"/>
      <w:r>
        <w:rPr>
          <w:rFonts w:ascii="標楷體" w:eastAsia="標楷體" w:hAnsi="標楷體" w:cs="標楷體"/>
          <w:sz w:val="40"/>
        </w:rPr>
        <w:t>食品業者衛生安全管理驗證及委託驗證管理辦法草案總說明</w:t>
      </w:r>
    </w:p>
    <w:p w:rsidR="00FC21EB" w:rsidRDefault="00FC21EB" w:rsidP="00FC21EB">
      <w:pPr>
        <w:spacing w:line="460" w:lineRule="exact"/>
        <w:ind w:firstLine="560"/>
        <w:jc w:val="both"/>
        <w:rPr>
          <w:rFonts w:ascii="標楷體" w:eastAsia="標楷體" w:hAnsi="標楷體" w:cs="標楷體"/>
          <w:sz w:val="28"/>
        </w:rPr>
      </w:pPr>
      <w:r>
        <w:rPr>
          <w:rFonts w:ascii="標楷體" w:eastAsia="標楷體" w:hAnsi="標楷體" w:cs="標楷體"/>
          <w:sz w:val="28"/>
        </w:rPr>
        <w:t>食品安全衛生管理法於一百零三年二月五日以華總一義字第一０三０００一七八０一號令修正公布，依該法第八條第六項之規定，為強化監督食品業者之衛生安全，</w:t>
      </w:r>
      <w:r w:rsidRPr="00537013">
        <w:rPr>
          <w:rFonts w:ascii="標楷體" w:eastAsia="標楷體" w:hAnsi="標楷體" w:cs="標楷體"/>
          <w:color w:val="000000" w:themeColor="text1"/>
          <w:sz w:val="28"/>
        </w:rPr>
        <w:t>中央主管機關得對食品業者就本法所規範之衛生安全管理系統進行符合性查核驗證，且經前項公告之實施對象，應接受中央主管機關或受其委託辦理之</w:t>
      </w:r>
      <w:r>
        <w:rPr>
          <w:rFonts w:ascii="標楷體" w:eastAsia="標楷體" w:hAnsi="標楷體" w:cs="標楷體"/>
          <w:sz w:val="28"/>
        </w:rPr>
        <w:t>驗證，爰擬具「食品業者衛生安全管理驗證及委託驗證管理辦法」訂定草案共二十條，其訂定要點如下：</w:t>
      </w:r>
    </w:p>
    <w:p w:rsidR="00FC21EB" w:rsidRDefault="00FC21EB" w:rsidP="00FC21EB">
      <w:pPr>
        <w:numPr>
          <w:ilvl w:val="0"/>
          <w:numId w:val="1"/>
        </w:numPr>
        <w:tabs>
          <w:tab w:val="left" w:pos="720"/>
        </w:tabs>
        <w:spacing w:line="460" w:lineRule="exact"/>
        <w:ind w:left="720" w:hanging="720"/>
        <w:jc w:val="both"/>
        <w:rPr>
          <w:rFonts w:ascii="標楷體" w:eastAsia="標楷體" w:hAnsi="標楷體" w:cs="標楷體"/>
          <w:sz w:val="28"/>
        </w:rPr>
      </w:pPr>
      <w:r>
        <w:rPr>
          <w:rFonts w:ascii="標楷體" w:eastAsia="標楷體" w:hAnsi="標楷體" w:cs="標楷體"/>
          <w:sz w:val="28"/>
        </w:rPr>
        <w:t xml:space="preserve">本辦法訂定依據。(草案第一條) </w:t>
      </w:r>
    </w:p>
    <w:p w:rsidR="00FC21EB" w:rsidRDefault="00FC21EB" w:rsidP="00FC21EB">
      <w:pPr>
        <w:numPr>
          <w:ilvl w:val="0"/>
          <w:numId w:val="1"/>
        </w:numPr>
        <w:tabs>
          <w:tab w:val="left" w:pos="720"/>
        </w:tabs>
        <w:spacing w:line="460" w:lineRule="exact"/>
        <w:ind w:left="720" w:hanging="720"/>
        <w:jc w:val="both"/>
        <w:rPr>
          <w:rFonts w:ascii="標楷體" w:eastAsia="標楷體" w:hAnsi="標楷體" w:cs="標楷體"/>
          <w:sz w:val="28"/>
        </w:rPr>
      </w:pPr>
      <w:r>
        <w:rPr>
          <w:rFonts w:ascii="標楷體" w:eastAsia="標楷體" w:hAnsi="標楷體" w:cs="標楷體"/>
          <w:sz w:val="28"/>
        </w:rPr>
        <w:t>中央主管機關應依驗證事項分別公告驗證業別。(草案第二條)</w:t>
      </w:r>
    </w:p>
    <w:p w:rsidR="00FC21EB" w:rsidRDefault="00FC21EB" w:rsidP="00FC21EB">
      <w:pPr>
        <w:numPr>
          <w:ilvl w:val="0"/>
          <w:numId w:val="1"/>
        </w:numPr>
        <w:tabs>
          <w:tab w:val="left" w:pos="720"/>
        </w:tabs>
        <w:spacing w:line="460" w:lineRule="exact"/>
        <w:ind w:left="720" w:hanging="720"/>
        <w:jc w:val="both"/>
        <w:rPr>
          <w:rFonts w:ascii="標楷體" w:eastAsia="標楷體" w:hAnsi="標楷體" w:cs="標楷體"/>
          <w:color w:val="984806"/>
          <w:sz w:val="28"/>
        </w:rPr>
      </w:pPr>
      <w:r>
        <w:rPr>
          <w:rFonts w:ascii="標楷體" w:eastAsia="標楷體" w:hAnsi="標楷體" w:cs="標楷體"/>
          <w:sz w:val="28"/>
        </w:rPr>
        <w:t>辦理驗證之方式及業者應遵循之事項。(草案第三條</w:t>
      </w:r>
      <w:r>
        <w:rPr>
          <w:rFonts w:ascii="標楷體" w:eastAsia="標楷體" w:hAnsi="標楷體" w:cs="標楷體" w:hint="eastAsia"/>
          <w:sz w:val="28"/>
        </w:rPr>
        <w:t>、</w:t>
      </w:r>
      <w:r>
        <w:rPr>
          <w:rFonts w:ascii="標楷體" w:eastAsia="標楷體" w:hAnsi="標楷體" w:cs="標楷體"/>
          <w:sz w:val="28"/>
        </w:rPr>
        <w:t>第</w:t>
      </w:r>
      <w:r>
        <w:rPr>
          <w:rFonts w:ascii="標楷體" w:eastAsia="標楷體" w:hAnsi="標楷體" w:cs="標楷體" w:hint="eastAsia"/>
          <w:sz w:val="28"/>
        </w:rPr>
        <w:t>四</w:t>
      </w:r>
      <w:r>
        <w:rPr>
          <w:rFonts w:ascii="標楷體" w:eastAsia="標楷體" w:hAnsi="標楷體" w:cs="標楷體"/>
          <w:sz w:val="28"/>
        </w:rPr>
        <w:t>條)</w:t>
      </w:r>
    </w:p>
    <w:p w:rsidR="00FC21EB" w:rsidRPr="001159D6" w:rsidRDefault="00FC21EB" w:rsidP="00FC21EB">
      <w:pPr>
        <w:numPr>
          <w:ilvl w:val="0"/>
          <w:numId w:val="1"/>
        </w:numPr>
        <w:tabs>
          <w:tab w:val="left" w:pos="720"/>
        </w:tabs>
        <w:spacing w:line="460" w:lineRule="exact"/>
        <w:ind w:left="720" w:hanging="720"/>
        <w:jc w:val="both"/>
        <w:rPr>
          <w:rFonts w:ascii="標楷體" w:eastAsia="標楷體" w:hAnsi="標楷體" w:cs="標楷體"/>
          <w:color w:val="000000" w:themeColor="text1"/>
          <w:sz w:val="28"/>
        </w:rPr>
      </w:pPr>
      <w:r w:rsidRPr="001159D6">
        <w:rPr>
          <w:rFonts w:ascii="標楷體" w:eastAsia="標楷體" w:hAnsi="標楷體" w:cs="標楷體" w:hint="eastAsia"/>
          <w:color w:val="000000" w:themeColor="text1"/>
          <w:sz w:val="28"/>
        </w:rPr>
        <w:t>得依法令逕予處分之事由。(草案第</w:t>
      </w:r>
      <w:r>
        <w:rPr>
          <w:rFonts w:ascii="標楷體" w:eastAsia="標楷體" w:hAnsi="標楷體" w:cs="標楷體" w:hint="eastAsia"/>
          <w:color w:val="000000" w:themeColor="text1"/>
          <w:sz w:val="28"/>
        </w:rPr>
        <w:t>五</w:t>
      </w:r>
      <w:r w:rsidRPr="001159D6">
        <w:rPr>
          <w:rFonts w:ascii="標楷體" w:eastAsia="標楷體" w:hAnsi="標楷體" w:cs="標楷體" w:hint="eastAsia"/>
          <w:color w:val="000000" w:themeColor="text1"/>
          <w:sz w:val="28"/>
        </w:rPr>
        <w:t>條)</w:t>
      </w:r>
    </w:p>
    <w:p w:rsidR="00FC21EB" w:rsidRDefault="00FC21EB" w:rsidP="00FC21EB">
      <w:pPr>
        <w:numPr>
          <w:ilvl w:val="0"/>
          <w:numId w:val="1"/>
        </w:numPr>
        <w:tabs>
          <w:tab w:val="left" w:pos="720"/>
        </w:tabs>
        <w:spacing w:line="460" w:lineRule="exact"/>
        <w:ind w:left="720" w:hanging="720"/>
        <w:jc w:val="both"/>
        <w:rPr>
          <w:rFonts w:ascii="標楷體" w:eastAsia="標楷體" w:hAnsi="標楷體" w:cs="標楷體"/>
          <w:sz w:val="28"/>
        </w:rPr>
      </w:pPr>
      <w:r>
        <w:rPr>
          <w:rFonts w:ascii="標楷體" w:eastAsia="標楷體" w:hAnsi="標楷體" w:cs="標楷體"/>
          <w:sz w:val="28"/>
        </w:rPr>
        <w:t>驗證業務委託對象之擇定、管理、應簽訂契約及其內容要旨。（草案第</w:t>
      </w:r>
      <w:r>
        <w:rPr>
          <w:rFonts w:ascii="標楷體" w:eastAsia="標楷體" w:hAnsi="標楷體" w:cs="標楷體" w:hint="eastAsia"/>
          <w:sz w:val="28"/>
        </w:rPr>
        <w:t>六</w:t>
      </w:r>
      <w:r>
        <w:rPr>
          <w:rFonts w:ascii="標楷體" w:eastAsia="標楷體" w:hAnsi="標楷體" w:cs="標楷體"/>
          <w:sz w:val="28"/>
        </w:rPr>
        <w:t>條至第</w:t>
      </w:r>
      <w:r>
        <w:rPr>
          <w:rFonts w:ascii="標楷體" w:eastAsia="標楷體" w:hAnsi="標楷體" w:cs="標楷體" w:hint="eastAsia"/>
          <w:sz w:val="28"/>
        </w:rPr>
        <w:t>十八</w:t>
      </w:r>
      <w:r>
        <w:rPr>
          <w:rFonts w:ascii="標楷體" w:eastAsia="標楷體" w:hAnsi="標楷體" w:cs="標楷體"/>
          <w:sz w:val="28"/>
        </w:rPr>
        <w:t>條）</w:t>
      </w:r>
    </w:p>
    <w:p w:rsidR="00FC21EB" w:rsidRDefault="00FC21EB" w:rsidP="00FC21EB">
      <w:pPr>
        <w:numPr>
          <w:ilvl w:val="0"/>
          <w:numId w:val="1"/>
        </w:numPr>
        <w:tabs>
          <w:tab w:val="left" w:pos="720"/>
        </w:tabs>
        <w:spacing w:line="460" w:lineRule="exact"/>
        <w:ind w:left="720" w:hanging="720"/>
        <w:jc w:val="both"/>
        <w:rPr>
          <w:rFonts w:ascii="標楷體" w:eastAsia="標楷體" w:hAnsi="標楷體" w:cs="標楷體"/>
          <w:sz w:val="28"/>
        </w:rPr>
      </w:pPr>
      <w:r>
        <w:rPr>
          <w:rFonts w:ascii="標楷體" w:eastAsia="標楷體" w:hAnsi="標楷體" w:cs="標楷體"/>
          <w:sz w:val="28"/>
        </w:rPr>
        <w:t>受託之驗證機構違反本辦法之相關罰則依據。(草案第十</w:t>
      </w:r>
      <w:r>
        <w:rPr>
          <w:rFonts w:ascii="標楷體" w:eastAsia="標楷體" w:hAnsi="標楷體" w:cs="標楷體" w:hint="eastAsia"/>
          <w:sz w:val="28"/>
        </w:rPr>
        <w:t>九</w:t>
      </w:r>
      <w:r>
        <w:rPr>
          <w:rFonts w:ascii="標楷體" w:eastAsia="標楷體" w:hAnsi="標楷體" w:cs="標楷體"/>
          <w:sz w:val="28"/>
        </w:rPr>
        <w:t>條)</w:t>
      </w:r>
    </w:p>
    <w:p w:rsidR="00FC21EB" w:rsidRPr="002F2EF3" w:rsidRDefault="00FC21EB" w:rsidP="00FC21EB">
      <w:pPr>
        <w:numPr>
          <w:ilvl w:val="0"/>
          <w:numId w:val="1"/>
        </w:numPr>
        <w:tabs>
          <w:tab w:val="left" w:pos="720"/>
        </w:tabs>
        <w:spacing w:line="460" w:lineRule="exact"/>
        <w:ind w:left="720" w:hanging="720"/>
        <w:jc w:val="both"/>
        <w:rPr>
          <w:rFonts w:ascii="標楷體" w:eastAsia="標楷體" w:hAnsi="標楷體" w:cs="標楷體"/>
          <w:sz w:val="28"/>
        </w:rPr>
      </w:pPr>
      <w:r w:rsidRPr="002F2EF3">
        <w:rPr>
          <w:rFonts w:ascii="標楷體" w:eastAsia="標楷體" w:hAnsi="標楷體" w:cs="標楷體"/>
          <w:sz w:val="28"/>
        </w:rPr>
        <w:t>本辦法施行日期。(草案第二十條)</w:t>
      </w:r>
    </w:p>
    <w:p w:rsidR="00FC21EB" w:rsidRDefault="00FC21EB" w:rsidP="00FC21EB">
      <w:pPr>
        <w:ind w:right="-468" w:hanging="540"/>
        <w:jc w:val="center"/>
        <w:rPr>
          <w:rFonts w:ascii="標楷體" w:eastAsia="標楷體" w:hAnsi="標楷體" w:cs="標楷體"/>
          <w:sz w:val="40"/>
        </w:rPr>
      </w:pPr>
    </w:p>
    <w:sectPr w:rsidR="00FC21EB" w:rsidSect="00C6483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A54" w:rsidRDefault="00A87A54" w:rsidP="00FC21EB">
      <w:r>
        <w:separator/>
      </w:r>
    </w:p>
  </w:endnote>
  <w:endnote w:type="continuationSeparator" w:id="1">
    <w:p w:rsidR="00A87A54" w:rsidRDefault="00A87A54" w:rsidP="00FC21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A54" w:rsidRDefault="00A87A54" w:rsidP="00FC21EB">
      <w:r>
        <w:separator/>
      </w:r>
    </w:p>
  </w:footnote>
  <w:footnote w:type="continuationSeparator" w:id="1">
    <w:p w:rsidR="00A87A54" w:rsidRDefault="00A87A54" w:rsidP="00FC21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628B5"/>
    <w:multiLevelType w:val="multilevel"/>
    <w:tmpl w:val="4DC27C10"/>
    <w:lvl w:ilvl="0">
      <w:start w:val="1"/>
      <w:numFmt w:val="taiwaneseCountingThousand"/>
      <w:lvlText w:val="%1、"/>
      <w:lvlJc w:val="left"/>
      <w:rPr>
        <w:color w:val="000000" w:themeColor="text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B2D"/>
    <w:rsid w:val="0021091C"/>
    <w:rsid w:val="00351F51"/>
    <w:rsid w:val="005C160E"/>
    <w:rsid w:val="008B502D"/>
    <w:rsid w:val="00A87A54"/>
    <w:rsid w:val="00C64831"/>
    <w:rsid w:val="00E82B2D"/>
    <w:rsid w:val="00EE1DD5"/>
    <w:rsid w:val="00FC21E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1E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1EB"/>
    <w:pPr>
      <w:tabs>
        <w:tab w:val="center" w:pos="4153"/>
        <w:tab w:val="right" w:pos="8306"/>
      </w:tabs>
      <w:snapToGrid w:val="0"/>
    </w:pPr>
    <w:rPr>
      <w:sz w:val="20"/>
      <w:szCs w:val="20"/>
    </w:rPr>
  </w:style>
  <w:style w:type="character" w:customStyle="1" w:styleId="a4">
    <w:name w:val="頁首 字元"/>
    <w:basedOn w:val="a0"/>
    <w:link w:val="a3"/>
    <w:uiPriority w:val="99"/>
    <w:rsid w:val="00FC21EB"/>
    <w:rPr>
      <w:sz w:val="20"/>
      <w:szCs w:val="20"/>
    </w:rPr>
  </w:style>
  <w:style w:type="paragraph" w:styleId="a5">
    <w:name w:val="footer"/>
    <w:basedOn w:val="a"/>
    <w:link w:val="a6"/>
    <w:uiPriority w:val="99"/>
    <w:unhideWhenUsed/>
    <w:rsid w:val="00FC21EB"/>
    <w:pPr>
      <w:tabs>
        <w:tab w:val="center" w:pos="4153"/>
        <w:tab w:val="right" w:pos="8306"/>
      </w:tabs>
      <w:snapToGrid w:val="0"/>
    </w:pPr>
    <w:rPr>
      <w:sz w:val="20"/>
      <w:szCs w:val="20"/>
    </w:rPr>
  </w:style>
  <w:style w:type="character" w:customStyle="1" w:styleId="a6">
    <w:name w:val="頁尾 字元"/>
    <w:basedOn w:val="a0"/>
    <w:link w:val="a5"/>
    <w:uiPriority w:val="99"/>
    <w:rsid w:val="00FC21E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1E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1EB"/>
    <w:pPr>
      <w:tabs>
        <w:tab w:val="center" w:pos="4153"/>
        <w:tab w:val="right" w:pos="8306"/>
      </w:tabs>
      <w:snapToGrid w:val="0"/>
    </w:pPr>
    <w:rPr>
      <w:sz w:val="20"/>
      <w:szCs w:val="20"/>
    </w:rPr>
  </w:style>
  <w:style w:type="character" w:customStyle="1" w:styleId="a4">
    <w:name w:val="頁首 字元"/>
    <w:basedOn w:val="a0"/>
    <w:link w:val="a3"/>
    <w:uiPriority w:val="99"/>
    <w:rsid w:val="00FC21EB"/>
    <w:rPr>
      <w:sz w:val="20"/>
      <w:szCs w:val="20"/>
    </w:rPr>
  </w:style>
  <w:style w:type="paragraph" w:styleId="a5">
    <w:name w:val="footer"/>
    <w:basedOn w:val="a"/>
    <w:link w:val="a6"/>
    <w:uiPriority w:val="99"/>
    <w:unhideWhenUsed/>
    <w:rsid w:val="00FC21EB"/>
    <w:pPr>
      <w:tabs>
        <w:tab w:val="center" w:pos="4153"/>
        <w:tab w:val="right" w:pos="8306"/>
      </w:tabs>
      <w:snapToGrid w:val="0"/>
    </w:pPr>
    <w:rPr>
      <w:sz w:val="20"/>
      <w:szCs w:val="20"/>
    </w:rPr>
  </w:style>
  <w:style w:type="character" w:customStyle="1" w:styleId="a6">
    <w:name w:val="頁尾 字元"/>
    <w:basedOn w:val="a0"/>
    <w:link w:val="a5"/>
    <w:uiPriority w:val="99"/>
    <w:rsid w:val="00FC21EB"/>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楊竣傑</dc:creator>
  <cp:lastModifiedBy>user</cp:lastModifiedBy>
  <cp:revision>2</cp:revision>
  <dcterms:created xsi:type="dcterms:W3CDTF">2014-09-04T06:07:00Z</dcterms:created>
  <dcterms:modified xsi:type="dcterms:W3CDTF">2014-09-04T06:07:00Z</dcterms:modified>
</cp:coreProperties>
</file>