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4" w:rsidRPr="00243345" w:rsidRDefault="00243345" w:rsidP="00243345">
      <w:pPr>
        <w:jc w:val="center"/>
        <w:rPr>
          <w:rFonts w:ascii="標楷體" w:eastAsia="標楷體" w:hAnsi="標楷體"/>
          <w:b/>
          <w:bCs/>
          <w:iCs/>
          <w:sz w:val="28"/>
          <w:szCs w:val="28"/>
          <w:lang w:val="zh-TW"/>
        </w:rPr>
      </w:pPr>
      <w:bookmarkStart w:id="0" w:name="_GoBack"/>
      <w:bookmarkEnd w:id="0"/>
      <w:r w:rsidRPr="00243345">
        <w:rPr>
          <w:rFonts w:ascii="標楷體" w:eastAsia="標楷體" w:hAnsi="標楷體" w:hint="eastAsia"/>
          <w:b/>
          <w:bCs/>
          <w:iCs/>
          <w:sz w:val="28"/>
          <w:szCs w:val="28"/>
          <w:lang w:val="zh-TW"/>
        </w:rPr>
        <w:t>含</w:t>
      </w:r>
      <w:r w:rsidRPr="00243345">
        <w:rPr>
          <w:rFonts w:ascii="標楷體" w:eastAsia="標楷體" w:hAnsi="標楷體"/>
          <w:b/>
          <w:bCs/>
          <w:iCs/>
          <w:sz w:val="28"/>
          <w:szCs w:val="28"/>
          <w:lang w:val="zh-TW"/>
        </w:rPr>
        <w:t>Hydroxyethyl starch類成分藥品之中文仿單修訂內容</w:t>
      </w:r>
      <w:r>
        <w:rPr>
          <w:rFonts w:ascii="標楷體" w:eastAsia="標楷體" w:hAnsi="標楷體" w:hint="eastAsia"/>
          <w:b/>
          <w:bCs/>
          <w:iCs/>
          <w:sz w:val="28"/>
          <w:szCs w:val="28"/>
          <w:lang w:val="zh-TW"/>
        </w:rPr>
        <w:t>(2014.</w:t>
      </w:r>
      <w:r w:rsidR="00F6618C">
        <w:rPr>
          <w:rFonts w:ascii="標楷體" w:eastAsia="標楷體" w:hAnsi="標楷體" w:hint="eastAsia"/>
          <w:b/>
          <w:bCs/>
          <w:iCs/>
          <w:sz w:val="28"/>
          <w:szCs w:val="28"/>
          <w:lang w:val="zh-TW"/>
        </w:rPr>
        <w:t>8</w:t>
      </w:r>
      <w:r>
        <w:rPr>
          <w:rFonts w:ascii="標楷體" w:eastAsia="標楷體" w:hAnsi="標楷體" w:hint="eastAsia"/>
          <w:b/>
          <w:bCs/>
          <w:iCs/>
          <w:sz w:val="28"/>
          <w:szCs w:val="28"/>
          <w:lang w:val="zh-TW"/>
        </w:rPr>
        <w:t>)</w:t>
      </w:r>
    </w:p>
    <w:p w:rsidR="00243345" w:rsidRPr="002F6EA2" w:rsidRDefault="00243345" w:rsidP="001100BF">
      <w:pPr>
        <w:rPr>
          <w:rFonts w:ascii="標楷體" w:eastAsia="標楷體" w:hAnsi="標楷體"/>
          <w:b/>
          <w:bCs/>
          <w:iCs/>
          <w:sz w:val="26"/>
          <w:szCs w:val="26"/>
          <w:lang w:val="zh-TW"/>
        </w:rPr>
      </w:pPr>
    </w:p>
    <w:p w:rsidR="001100BF" w:rsidRPr="00243345" w:rsidRDefault="00243345" w:rsidP="002F6EA2">
      <w:pPr>
        <w:spacing w:line="276" w:lineRule="auto"/>
        <w:rPr>
          <w:rFonts w:ascii="標楷體" w:eastAsia="標楷體" w:hAnsi="標楷體"/>
          <w:bCs/>
          <w:i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一、</w:t>
      </w:r>
      <w:r w:rsidR="00A72105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須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於</w:t>
      </w:r>
      <w:r w:rsidR="001100BF" w:rsidRPr="00A72105"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仿單之起首加刊黑框警語</w:t>
      </w:r>
      <w:r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如下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:</w:t>
      </w:r>
    </w:p>
    <w:p w:rsidR="005F0464" w:rsidRPr="00243345" w:rsidRDefault="00A72105" w:rsidP="00243345">
      <w:pPr>
        <w:spacing w:line="276" w:lineRule="auto"/>
        <w:ind w:leftChars="236" w:left="566"/>
        <w:rPr>
          <w:rFonts w:ascii="標楷體" w:eastAsia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敗血症等重症病患請勿使用，因使用本品可能增加致死率及接受腎臟替代療法(血液透析)的風險 (詳見「禁忌症」處)。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</w:p>
    <w:p w:rsidR="00243345" w:rsidRPr="00243345" w:rsidRDefault="00243345" w:rsidP="00A72105">
      <w:pPr>
        <w:spacing w:line="276" w:lineRule="auto"/>
        <w:ind w:leftChars="-118" w:left="-283"/>
        <w:rPr>
          <w:rFonts w:ascii="標楷體" w:eastAsia="標楷體" w:hAnsi="標楷體"/>
          <w:bCs/>
          <w:iCs/>
          <w:sz w:val="26"/>
          <w:szCs w:val="26"/>
          <w:lang w:val="zh-TW"/>
        </w:rPr>
      </w:pPr>
    </w:p>
    <w:p w:rsidR="00A72105" w:rsidRDefault="00243345" w:rsidP="00A72105">
      <w:pPr>
        <w:spacing w:line="276" w:lineRule="auto"/>
        <w:rPr>
          <w:rFonts w:ascii="標楷體" w:eastAsia="標楷體" w:hAnsi="標楷體"/>
          <w:bCs/>
          <w:iCs/>
          <w:sz w:val="26"/>
          <w:szCs w:val="26"/>
          <w:lang w:val="zh-TW"/>
        </w:rPr>
      </w:pPr>
      <w:r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二、</w:t>
      </w:r>
      <w:r w:rsid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須於</w:t>
      </w:r>
      <w:r w:rsidR="00A72105"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</w:t>
      </w:r>
      <w:r w:rsidR="00A72105" w:rsidRPr="00A72105"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成分</w:t>
      </w:r>
      <w:r w:rsidR="00A72105"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  <w:r w:rsid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處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明確標示產品之組成</w:t>
      </w:r>
      <w:r w:rsid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，</w:t>
      </w:r>
      <w:r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包含清楚標示分子量</w:t>
      </w:r>
      <w:r w:rsidR="00F6618C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(k</w:t>
      </w:r>
      <w:r w:rsid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D)</w:t>
      </w:r>
      <w:r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/置換比</w:t>
      </w:r>
    </w:p>
    <w:p w:rsidR="001100BF" w:rsidRPr="00243345" w:rsidRDefault="00A72105" w:rsidP="00A72105">
      <w:pPr>
        <w:spacing w:line="276" w:lineRule="auto"/>
        <w:rPr>
          <w:rFonts w:ascii="標楷體" w:eastAsia="標楷體" w:hAnsi="標楷體"/>
          <w:bCs/>
          <w:iCs/>
          <w:sz w:val="26"/>
          <w:szCs w:val="26"/>
          <w:lang w:val="zh-TW"/>
        </w:rPr>
      </w:pPr>
      <w:r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 xml:space="preserve">    (</w:t>
      </w:r>
      <w:r w:rsidR="00243345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如: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130/0.4、450/0.7、70/0.5、200/0.5</w:t>
      </w:r>
      <w:r w:rsidR="001100BF" w:rsidRPr="00243345">
        <w:rPr>
          <w:rFonts w:ascii="標楷體" w:eastAsia="標楷體" w:hAnsi="標楷體"/>
          <w:bCs/>
          <w:iCs/>
          <w:sz w:val="26"/>
          <w:szCs w:val="26"/>
          <w:lang w:val="zh-TW"/>
        </w:rPr>
        <w:t>…</w:t>
      </w:r>
      <w:r w:rsidR="001100BF" w:rsidRPr="0024334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等)</w:t>
      </w:r>
    </w:p>
    <w:p w:rsidR="001100BF" w:rsidRPr="00243345" w:rsidRDefault="001100BF" w:rsidP="002F6EA2">
      <w:pPr>
        <w:spacing w:line="276" w:lineRule="auto"/>
        <w:rPr>
          <w:rFonts w:ascii="標楷體" w:eastAsia="標楷體" w:hAnsi="標楷體"/>
          <w:bCs/>
          <w:iCs/>
          <w:sz w:val="26"/>
          <w:szCs w:val="26"/>
          <w:lang w:val="zh-TW"/>
        </w:rPr>
      </w:pPr>
    </w:p>
    <w:p w:rsidR="001100BF" w:rsidRPr="002F6EA2" w:rsidRDefault="00243345" w:rsidP="002F6EA2">
      <w:pPr>
        <w:spacing w:line="276" w:lineRule="auto"/>
        <w:rPr>
          <w:rFonts w:ascii="標楷體" w:eastAsia="標楷體" w:hAnsi="標楷體"/>
          <w:b/>
          <w:bCs/>
          <w:i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三、</w:t>
      </w:r>
      <w:r w:rsidR="00A72105"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</w:t>
      </w:r>
      <w:r w:rsidR="001100BF" w:rsidRPr="002F6EA2"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適應症</w:t>
      </w:r>
      <w:r w:rsidR="00A72105"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  <w:r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統一</w:t>
      </w:r>
      <w:r w:rsidR="001100BF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為:</w:t>
      </w:r>
    </w:p>
    <w:p w:rsidR="001100BF" w:rsidRPr="002F6EA2" w:rsidRDefault="001100BF" w:rsidP="00243345">
      <w:pPr>
        <w:spacing w:line="276" w:lineRule="auto"/>
        <w:ind w:leftChars="236" w:left="566"/>
        <w:rPr>
          <w:rFonts w:ascii="標楷體" w:eastAsia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「單獨使用晶質輸注液無法治療之急性出血導致之低血容積病人，</w:t>
      </w:r>
    </w:p>
    <w:p w:rsidR="001100BF" w:rsidRPr="002F6EA2" w:rsidRDefault="001100BF" w:rsidP="00243345">
      <w:pPr>
        <w:spacing w:line="276" w:lineRule="auto"/>
        <w:ind w:leftChars="236" w:left="566"/>
        <w:rPr>
          <w:rFonts w:ascii="標楷體" w:eastAsia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本品</w:t>
      </w:r>
      <w:r w:rsidRPr="002F6EA2">
        <w:rPr>
          <w:rFonts w:ascii="標楷體" w:eastAsia="標楷體" w:hAnsi="標楷體" w:hint="eastAsia"/>
          <w:bCs/>
          <w:iCs/>
          <w:spacing w:val="-4"/>
          <w:sz w:val="26"/>
          <w:szCs w:val="26"/>
          <w:lang w:val="zh-TW"/>
        </w:rPr>
        <w:t>無法取代紅血球及血漿中的凝血因子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</w:p>
    <w:p w:rsidR="001100BF" w:rsidRDefault="001100BF" w:rsidP="002F6EA2">
      <w:pPr>
        <w:spacing w:line="276" w:lineRule="auto"/>
        <w:rPr>
          <w:rFonts w:ascii="標楷體" w:eastAsia="標楷體" w:hAnsi="標楷體"/>
          <w:bCs/>
          <w:iCs/>
          <w:sz w:val="26"/>
          <w:szCs w:val="26"/>
          <w:lang w:val="zh-TW"/>
        </w:rPr>
      </w:pPr>
    </w:p>
    <w:p w:rsidR="001100BF" w:rsidRDefault="00A72105" w:rsidP="00A72105">
      <w:pPr>
        <w:spacing w:line="276" w:lineRule="auto"/>
        <w:ind w:left="567" w:hangingChars="218" w:hanging="567"/>
        <w:rPr>
          <w:rFonts w:ascii="標楷體" w:eastAsia="標楷體" w:hAnsi="標楷體"/>
          <w:bCs/>
          <w:iCs/>
          <w:sz w:val="26"/>
          <w:szCs w:val="26"/>
          <w:lang w:val="zh-TW"/>
        </w:rPr>
      </w:pPr>
      <w:r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四、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</w:t>
      </w:r>
      <w:r w:rsidR="001100BF" w:rsidRPr="002F6EA2"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用法用量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  <w:r w:rsidR="00243345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處需</w:t>
      </w:r>
      <w:r w:rsidR="001100BF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加刊</w:t>
      </w:r>
      <w:r w:rsidR="00243345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下列事項</w:t>
      </w:r>
      <w:r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，其他內容</w:t>
      </w:r>
      <w:r w:rsidRPr="002F6EA2">
        <w:rPr>
          <w:rFonts w:ascii="標楷體" w:eastAsia="標楷體" w:hAnsi="標楷體" w:hint="eastAsia"/>
          <w:sz w:val="26"/>
          <w:szCs w:val="26"/>
        </w:rPr>
        <w:t>請參考國外原廠仿單內容修訂</w:t>
      </w:r>
      <w:r w:rsidR="00F6618C">
        <w:rPr>
          <w:rFonts w:ascii="標楷體" w:eastAsia="標楷體" w:hAnsi="標楷體" w:hint="eastAsia"/>
          <w:sz w:val="26"/>
          <w:szCs w:val="26"/>
        </w:rPr>
        <w:t>並依藥品查驗登記審查準則檢附相關資料辦理變更登記</w:t>
      </w:r>
      <w:r w:rsidR="001100BF" w:rsidRPr="00A72105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:</w:t>
      </w:r>
    </w:p>
    <w:p w:rsidR="00A72105" w:rsidRDefault="001100BF" w:rsidP="00A72105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僅供靜脈輸注使用。</w:t>
      </w:r>
    </w:p>
    <w:p w:rsidR="00A72105" w:rsidRDefault="001100BF" w:rsidP="00A72105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僅可用於急性出血且晶質不足以維持病患穩定時。</w:t>
      </w:r>
    </w:p>
    <w:p w:rsidR="00A72105" w:rsidRDefault="001100BF" w:rsidP="00A72105">
      <w:pPr>
        <w:pStyle w:val="a8"/>
        <w:numPr>
          <w:ilvl w:val="0"/>
          <w:numId w:val="1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最初的10-20ml應緩慢輸注，並密切監測病患的狀況(及早發現是否出現任何過敏反應)</w:t>
      </w:r>
    </w:p>
    <w:p w:rsidR="009C60B0" w:rsidRPr="00A72105" w:rsidRDefault="001100BF" w:rsidP="00A72105">
      <w:pPr>
        <w:pStyle w:val="a8"/>
        <w:numPr>
          <w:ilvl w:val="0"/>
          <w:numId w:val="1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須使用最低有效劑量，並持續監測血液動力學相關數值，一旦達到適當的治療目的後即停止使用，不應超過每日建議最大劑量。</w:t>
      </w:r>
    </w:p>
    <w:p w:rsidR="001100BF" w:rsidRPr="002F6EA2" w:rsidRDefault="001100BF" w:rsidP="002F6EA2">
      <w:pPr>
        <w:spacing w:line="276" w:lineRule="auto"/>
        <w:ind w:left="461" w:hangingChars="177" w:hanging="461"/>
        <w:rPr>
          <w:rFonts w:ascii="標楷體" w:eastAsia="標楷體" w:hAnsi="標楷體"/>
          <w:b/>
          <w:bCs/>
          <w:iCs/>
          <w:sz w:val="26"/>
          <w:szCs w:val="26"/>
          <w:lang w:val="zh-TW"/>
        </w:rPr>
      </w:pPr>
    </w:p>
    <w:p w:rsidR="001100BF" w:rsidRPr="00A72105" w:rsidRDefault="00A72105" w:rsidP="00A72105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iCs/>
          <w:sz w:val="26"/>
          <w:szCs w:val="26"/>
          <w:lang w:val="zh-TW"/>
        </w:rPr>
        <w:t>五、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「</w:t>
      </w:r>
      <w:r w:rsidR="001100BF" w:rsidRPr="002F6EA2">
        <w:rPr>
          <w:rFonts w:ascii="標楷體" w:eastAsia="標楷體" w:hAnsi="標楷體" w:hint="eastAsia"/>
          <w:b/>
          <w:sz w:val="26"/>
          <w:szCs w:val="26"/>
        </w:rPr>
        <w:t>禁忌症</w:t>
      </w:r>
      <w:r w:rsidRPr="002F6EA2">
        <w:rPr>
          <w:rFonts w:ascii="標楷體" w:eastAsia="標楷體" w:hAnsi="標楷體" w:hint="eastAsia"/>
          <w:bCs/>
          <w:iCs/>
          <w:sz w:val="26"/>
          <w:szCs w:val="26"/>
          <w:lang w:val="zh-TW"/>
        </w:rPr>
        <w:t>」</w:t>
      </w:r>
      <w:r w:rsidRPr="00A72105">
        <w:rPr>
          <w:rFonts w:ascii="標楷體" w:eastAsia="標楷體" w:hAnsi="標楷體" w:hint="eastAsia"/>
          <w:sz w:val="26"/>
          <w:szCs w:val="26"/>
        </w:rPr>
        <w:t>需</w:t>
      </w:r>
      <w:r w:rsidR="001100BF" w:rsidRPr="00A72105">
        <w:rPr>
          <w:rFonts w:ascii="標楷體" w:eastAsia="標楷體" w:hAnsi="標楷體" w:hint="eastAsia"/>
          <w:sz w:val="26"/>
          <w:szCs w:val="26"/>
        </w:rPr>
        <w:t>完整刊載</w:t>
      </w:r>
      <w:r w:rsidRPr="00A72105">
        <w:rPr>
          <w:rFonts w:ascii="標楷體" w:eastAsia="標楷體" w:hAnsi="標楷體" w:hint="eastAsia"/>
          <w:sz w:val="26"/>
          <w:szCs w:val="26"/>
        </w:rPr>
        <w:t>下列</w:t>
      </w:r>
      <w:r>
        <w:rPr>
          <w:rFonts w:ascii="標楷體" w:eastAsia="標楷體" w:hAnsi="標楷體" w:hint="eastAsia"/>
          <w:sz w:val="26"/>
          <w:szCs w:val="26"/>
        </w:rPr>
        <w:t>事項</w:t>
      </w:r>
      <w:r w:rsidRPr="00A72105">
        <w:rPr>
          <w:rFonts w:ascii="標楷體" w:eastAsia="標楷體" w:hAnsi="標楷體" w:hint="eastAsia"/>
          <w:sz w:val="26"/>
          <w:szCs w:val="26"/>
        </w:rPr>
        <w:t>: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敗血症患者</w:t>
      </w:r>
    </w:p>
    <w:p w:rsidR="001100BF" w:rsidRPr="002F6EA2" w:rsidRDefault="001100BF" w:rsidP="002F6EA2">
      <w:pPr>
        <w:pStyle w:val="a3"/>
        <w:spacing w:line="276" w:lineRule="auto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- 重症患者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</w:rPr>
      </w:pP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- 燒燙傷患者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  <w:t>嚴重</w:t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肝臟疾病的患者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已知對羥基乙基澱粉或本品賦形劑過敏者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  <w:t>體液超過負荷(體內水分過多)，尤其是肺水腫與鬱血性心衰竭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有凝血或出血疾患的患者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腎衰竭且併有非血液容積過低導致的寡尿症或無尿症</w:t>
      </w:r>
    </w:p>
    <w:p w:rsidR="001100BF" w:rsidRPr="002F6EA2" w:rsidRDefault="001100BF" w:rsidP="002F6EA2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接受腎臟透析治療的患者</w:t>
      </w:r>
    </w:p>
    <w:p w:rsidR="00A72105" w:rsidRPr="002F6EA2" w:rsidRDefault="001100BF" w:rsidP="00A72105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>-</w:t>
      </w:r>
      <w:r w:rsidRPr="002F6EA2">
        <w:rPr>
          <w:rFonts w:ascii="標楷體" w:hAnsi="標楷體" w:hint="eastAsia"/>
          <w:iCs/>
          <w:sz w:val="26"/>
          <w:szCs w:val="26"/>
          <w:lang w:val="zh-TW"/>
        </w:rPr>
        <w:tab/>
      </w:r>
      <w:r w:rsidR="00A72105"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嚴重高鈉血症或嚴重高氯血症的患者</w:t>
      </w:r>
    </w:p>
    <w:p w:rsidR="00A72105" w:rsidRDefault="00A72105" w:rsidP="00A72105">
      <w:pPr>
        <w:pStyle w:val="a3"/>
        <w:spacing w:line="276" w:lineRule="auto"/>
        <w:rPr>
          <w:rFonts w:ascii="標楷體" w:hAnsi="標楷體"/>
          <w:bCs/>
          <w:iCs/>
          <w:sz w:val="26"/>
          <w:szCs w:val="26"/>
          <w:lang w:val="zh-TW"/>
        </w:rPr>
      </w:pPr>
      <w:r w:rsidRPr="002F6EA2">
        <w:rPr>
          <w:rFonts w:ascii="標楷體" w:hAnsi="標楷體" w:hint="eastAsia"/>
          <w:iCs/>
          <w:sz w:val="26"/>
          <w:szCs w:val="26"/>
          <w:lang w:val="zh-TW"/>
        </w:rPr>
        <w:t xml:space="preserve">- </w:t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顱內出血的患者</w:t>
      </w:r>
    </w:p>
    <w:p w:rsidR="001100BF" w:rsidRDefault="00A72105" w:rsidP="00A72105">
      <w:pPr>
        <w:pStyle w:val="a3"/>
        <w:spacing w:line="276" w:lineRule="auto"/>
        <w:ind w:left="851" w:hanging="284"/>
        <w:rPr>
          <w:rFonts w:ascii="標楷體" w:hAnsi="標楷體"/>
          <w:bCs/>
          <w:iCs/>
          <w:sz w:val="26"/>
          <w:szCs w:val="26"/>
          <w:lang w:val="zh-TW"/>
        </w:rPr>
      </w:pPr>
      <w:r>
        <w:rPr>
          <w:rFonts w:ascii="標楷體" w:hAnsi="標楷體" w:hint="eastAsia"/>
          <w:bCs/>
          <w:iCs/>
          <w:sz w:val="26"/>
          <w:szCs w:val="26"/>
          <w:lang w:val="zh-TW"/>
        </w:rPr>
        <w:t>- 器官移植患者</w:t>
      </w:r>
    </w:p>
    <w:p w:rsidR="00A72105" w:rsidRDefault="00A72105" w:rsidP="00A72105">
      <w:pPr>
        <w:pStyle w:val="a3"/>
        <w:spacing w:line="276" w:lineRule="auto"/>
        <w:rPr>
          <w:rFonts w:ascii="標楷體" w:hAnsi="標楷體"/>
          <w:b/>
          <w:bCs/>
          <w:iCs/>
          <w:sz w:val="26"/>
          <w:szCs w:val="26"/>
          <w:lang w:val="zh-TW"/>
        </w:rPr>
      </w:pPr>
      <w:r>
        <w:rPr>
          <w:rFonts w:ascii="標楷體" w:hAnsi="標楷體" w:hint="eastAsia"/>
          <w:bCs/>
          <w:iCs/>
          <w:sz w:val="26"/>
          <w:szCs w:val="26"/>
          <w:lang w:val="zh-TW"/>
        </w:rPr>
        <w:t>- 嚴重高鉀血症</w:t>
      </w:r>
      <w:r w:rsidRPr="00A72105">
        <w:rPr>
          <w:rFonts w:ascii="標楷體" w:hAnsi="標楷體" w:hint="eastAsia"/>
          <w:b/>
          <w:bCs/>
          <w:iCs/>
          <w:sz w:val="26"/>
          <w:szCs w:val="26"/>
          <w:lang w:val="zh-TW"/>
        </w:rPr>
        <w:t>(</w:t>
      </w:r>
      <w:r>
        <w:rPr>
          <w:rFonts w:ascii="標楷體" w:hAnsi="標楷體" w:hint="eastAsia"/>
          <w:b/>
          <w:bCs/>
          <w:iCs/>
          <w:sz w:val="26"/>
          <w:szCs w:val="26"/>
          <w:lang w:val="zh-TW"/>
        </w:rPr>
        <w:t>僅適用於</w:t>
      </w:r>
      <w:r w:rsidRPr="00A72105">
        <w:rPr>
          <w:rFonts w:ascii="標楷體" w:hAnsi="標楷體" w:hint="eastAsia"/>
          <w:b/>
          <w:bCs/>
          <w:iCs/>
          <w:sz w:val="26"/>
          <w:szCs w:val="26"/>
          <w:lang w:val="zh-TW"/>
        </w:rPr>
        <w:t>含鉀離子</w:t>
      </w:r>
      <w:r>
        <w:rPr>
          <w:rFonts w:ascii="標楷體" w:hAnsi="標楷體" w:hint="eastAsia"/>
          <w:b/>
          <w:bCs/>
          <w:iCs/>
          <w:sz w:val="26"/>
          <w:szCs w:val="26"/>
          <w:lang w:val="zh-TW"/>
        </w:rPr>
        <w:t>之產品</w:t>
      </w:r>
      <w:r w:rsidRPr="00A72105">
        <w:rPr>
          <w:rFonts w:ascii="標楷體" w:hAnsi="標楷體" w:hint="eastAsia"/>
          <w:b/>
          <w:bCs/>
          <w:iCs/>
          <w:sz w:val="26"/>
          <w:szCs w:val="26"/>
          <w:lang w:val="zh-TW"/>
        </w:rPr>
        <w:t>)</w:t>
      </w:r>
    </w:p>
    <w:p w:rsidR="00A72105" w:rsidRDefault="00A72105" w:rsidP="00A72105">
      <w:pPr>
        <w:pStyle w:val="a3"/>
        <w:spacing w:line="276" w:lineRule="auto"/>
        <w:ind w:left="0"/>
        <w:rPr>
          <w:rFonts w:ascii="標楷體" w:hAnsi="標楷體"/>
          <w:b/>
          <w:bCs/>
          <w:iCs/>
          <w:sz w:val="26"/>
          <w:szCs w:val="26"/>
          <w:lang w:val="zh-TW"/>
        </w:rPr>
      </w:pPr>
    </w:p>
    <w:p w:rsidR="001100BF" w:rsidRDefault="00A72105" w:rsidP="00A72105">
      <w:pPr>
        <w:pStyle w:val="a3"/>
        <w:spacing w:line="276" w:lineRule="auto"/>
        <w:ind w:left="0"/>
        <w:rPr>
          <w:rFonts w:ascii="標楷體" w:hAnsi="標楷體"/>
          <w:bCs/>
          <w:iCs/>
          <w:sz w:val="26"/>
          <w:szCs w:val="26"/>
          <w:lang w:val="zh-TW"/>
        </w:rPr>
      </w:pPr>
      <w:r>
        <w:rPr>
          <w:rFonts w:ascii="標楷體" w:hAnsi="標楷體" w:hint="eastAsia"/>
          <w:b/>
          <w:bCs/>
          <w:iCs/>
          <w:sz w:val="26"/>
          <w:szCs w:val="26"/>
          <w:lang w:val="zh-TW"/>
        </w:rPr>
        <w:lastRenderedPageBreak/>
        <w:t>六、</w:t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「</w:t>
      </w:r>
      <w:r w:rsidR="001100BF" w:rsidRPr="002F6EA2">
        <w:rPr>
          <w:rFonts w:ascii="標楷體" w:hAnsi="標楷體" w:hint="eastAsia"/>
          <w:b/>
          <w:bCs/>
          <w:iCs/>
          <w:sz w:val="26"/>
          <w:szCs w:val="26"/>
          <w:lang w:val="zh-TW"/>
        </w:rPr>
        <w:t>警語及注意事項</w:t>
      </w:r>
      <w:r w:rsidRPr="002F6EA2">
        <w:rPr>
          <w:rFonts w:ascii="標楷體" w:hAnsi="標楷體" w:hint="eastAsia"/>
          <w:bCs/>
          <w:iCs/>
          <w:sz w:val="26"/>
          <w:szCs w:val="26"/>
          <w:lang w:val="zh-TW"/>
        </w:rPr>
        <w:t>」</w:t>
      </w:r>
      <w:r>
        <w:rPr>
          <w:rFonts w:ascii="標楷體" w:hAnsi="標楷體" w:hint="eastAsia"/>
          <w:bCs/>
          <w:iCs/>
          <w:sz w:val="26"/>
          <w:szCs w:val="26"/>
          <w:lang w:val="zh-TW"/>
        </w:rPr>
        <w:t>處</w:t>
      </w:r>
      <w:r w:rsidR="0099643E" w:rsidRPr="00A72105">
        <w:rPr>
          <w:rFonts w:ascii="標楷體" w:hAnsi="標楷體" w:hint="eastAsia"/>
          <w:bCs/>
          <w:iCs/>
          <w:sz w:val="26"/>
          <w:szCs w:val="26"/>
          <w:lang w:val="zh-TW"/>
        </w:rPr>
        <w:t>至少須包含</w:t>
      </w:r>
      <w:r w:rsidR="001100BF" w:rsidRPr="00A72105">
        <w:rPr>
          <w:rFonts w:ascii="標楷體" w:hAnsi="標楷體" w:hint="eastAsia"/>
          <w:bCs/>
          <w:iCs/>
          <w:sz w:val="26"/>
          <w:szCs w:val="26"/>
          <w:lang w:val="zh-TW"/>
        </w:rPr>
        <w:t>下列內容</w:t>
      </w:r>
      <w:r w:rsidRPr="00A72105">
        <w:rPr>
          <w:rFonts w:ascii="標楷體" w:hAnsi="標楷體" w:hint="eastAsia"/>
          <w:bCs/>
          <w:iCs/>
          <w:sz w:val="26"/>
          <w:szCs w:val="26"/>
          <w:lang w:val="zh-TW"/>
        </w:rPr>
        <w:t>:</w:t>
      </w:r>
    </w:p>
    <w:p w:rsidR="00A72105" w:rsidRDefault="009C60B0" w:rsidP="00A72105">
      <w:pPr>
        <w:pStyle w:val="a8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於手術與創傷患者尚缺乏長期安全性資料。</w:t>
      </w:r>
    </w:p>
    <w:p w:rsidR="00A72105" w:rsidRDefault="001100BF" w:rsidP="00A72105">
      <w:pPr>
        <w:pStyle w:val="a8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含羥乙基澱粉之溶液使用中曾有全身性過敏/類全身性過敏反應(過敏、輕度類流感症狀、心搏過緩、心搏過速、支氣管痙攣、非心因性肺水腫)的通報。</w:t>
      </w:r>
      <w:r w:rsidR="009C60B0" w:rsidRPr="00A72105">
        <w:rPr>
          <w:rFonts w:ascii="標楷體" w:eastAsia="標楷體" w:hAnsi="標楷體" w:hint="eastAsia"/>
          <w:sz w:val="26"/>
          <w:szCs w:val="26"/>
        </w:rPr>
        <w:t>若</w:t>
      </w:r>
      <w:r w:rsidRPr="00A72105">
        <w:rPr>
          <w:rFonts w:ascii="標楷體" w:eastAsia="標楷體" w:hAnsi="標楷體" w:hint="eastAsia"/>
          <w:sz w:val="26"/>
          <w:szCs w:val="26"/>
        </w:rPr>
        <w:t>發生過敏反應，應立即停止投藥並採取適當的治療及支持措施，直到症狀解除為止。</w:t>
      </w:r>
    </w:p>
    <w:p w:rsidR="00A72105" w:rsidRDefault="009C60B0" w:rsidP="00A72105">
      <w:pPr>
        <w:pStyle w:val="a8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避免用於原本就有腎臟功能異常的病患中。一出現臨床相關腎損傷徵兆時即停用本品。繼續為住院病患監測腎功能至少90天，因為在HES類藥品投藥後長達90天時仍曾經記錄到腎臟取代療法的使用。</w:t>
      </w:r>
    </w:p>
    <w:p w:rsidR="00A72105" w:rsidRDefault="0099643E" w:rsidP="00A72105">
      <w:pPr>
        <w:pStyle w:val="a8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須監測液體平衡、血清電解質濃度、肝腎功能、酸鹼平衡及凝血參數。</w:t>
      </w:r>
    </w:p>
    <w:p w:rsidR="00A72105" w:rsidRDefault="009C60B0" w:rsidP="00A72105">
      <w:pPr>
        <w:pStyle w:val="a8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一出現臨床相關凝血功能障礙徵兆時即停用本品。</w:t>
      </w:r>
      <w:r w:rsidR="0099643E" w:rsidRPr="00A72105">
        <w:rPr>
          <w:rFonts w:ascii="標楷體" w:eastAsia="標楷體" w:hAnsi="標楷體" w:hint="eastAsia"/>
          <w:sz w:val="26"/>
          <w:szCs w:val="26"/>
        </w:rPr>
        <w:t>在進行心肺分流相關開心手術的病患中應監測凝血狀態，因曾有此族群使用HES類藥品時大量出血的通報。</w:t>
      </w:r>
    </w:p>
    <w:p w:rsidR="0099643E" w:rsidRPr="00A72105" w:rsidRDefault="0099643E" w:rsidP="00A72105">
      <w:pPr>
        <w:pStyle w:val="a8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A72105">
        <w:rPr>
          <w:rFonts w:ascii="標楷體" w:eastAsia="標楷體" w:hAnsi="標楷體" w:hint="eastAsia"/>
          <w:sz w:val="26"/>
          <w:szCs w:val="26"/>
        </w:rPr>
        <w:t>避免液體超負荷或輸注速率過快，為心臟或腎臟功能異常的病患調整劑量。於治療期間應定期評估液體狀態及輸注速率。</w:t>
      </w:r>
    </w:p>
    <w:p w:rsidR="009C60B0" w:rsidRPr="0099643E" w:rsidRDefault="009C60B0" w:rsidP="009C60B0">
      <w:pPr>
        <w:rPr>
          <w:rFonts w:ascii="標楷體" w:eastAsia="標楷體" w:hAnsi="標楷體"/>
        </w:rPr>
      </w:pPr>
    </w:p>
    <w:p w:rsidR="009C60B0" w:rsidRPr="009C60B0" w:rsidRDefault="009C60B0" w:rsidP="009C60B0">
      <w:pPr>
        <w:rPr>
          <w:rFonts w:ascii="標楷體" w:eastAsia="標楷體" w:hAnsi="標楷體"/>
        </w:rPr>
      </w:pPr>
    </w:p>
    <w:p w:rsidR="009C60B0" w:rsidRPr="009C60B0" w:rsidRDefault="009C60B0" w:rsidP="009C60B0">
      <w:pPr>
        <w:ind w:left="425" w:hangingChars="177" w:hanging="425"/>
        <w:rPr>
          <w:rFonts w:ascii="標楷體" w:eastAsia="標楷體" w:hAnsi="標楷體"/>
        </w:rPr>
      </w:pPr>
    </w:p>
    <w:p w:rsidR="001100BF" w:rsidRPr="001100BF" w:rsidRDefault="001100BF" w:rsidP="001100BF">
      <w:pPr>
        <w:ind w:left="425" w:hangingChars="177" w:hanging="425"/>
        <w:rPr>
          <w:rFonts w:ascii="標楷體" w:eastAsia="標楷體" w:hAnsi="標楷體"/>
          <w:bCs/>
          <w:iCs/>
        </w:rPr>
      </w:pPr>
    </w:p>
    <w:p w:rsidR="00572EDB" w:rsidRDefault="00572EDB"/>
    <w:sectPr w:rsidR="00572EDB" w:rsidSect="00F6618C">
      <w:footerReference w:type="default" r:id="rId7"/>
      <w:pgSz w:w="11906" w:h="16838"/>
      <w:pgMar w:top="709" w:right="1274" w:bottom="284" w:left="1843" w:header="851" w:footer="27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C7" w:rsidRDefault="00707FC7" w:rsidP="00E13436">
      <w:r>
        <w:separator/>
      </w:r>
    </w:p>
  </w:endnote>
  <w:endnote w:type="continuationSeparator" w:id="0">
    <w:p w:rsidR="00707FC7" w:rsidRDefault="00707FC7" w:rsidP="00E1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44805"/>
      <w:docPartObj>
        <w:docPartGallery w:val="Page Numbers (Bottom of Page)"/>
        <w:docPartUnique/>
      </w:docPartObj>
    </w:sdtPr>
    <w:sdtContent>
      <w:p w:rsidR="00E13436" w:rsidRDefault="00E30AEF" w:rsidP="00E13436">
        <w:pPr>
          <w:pStyle w:val="a6"/>
          <w:jc w:val="center"/>
        </w:pPr>
        <w:r>
          <w:fldChar w:fldCharType="begin"/>
        </w:r>
        <w:r w:rsidR="00E13436">
          <w:instrText>PAGE   \* MERGEFORMAT</w:instrText>
        </w:r>
        <w:r>
          <w:fldChar w:fldCharType="separate"/>
        </w:r>
        <w:r w:rsidR="00232211" w:rsidRPr="002322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C7" w:rsidRDefault="00707FC7" w:rsidP="00E13436">
      <w:r>
        <w:separator/>
      </w:r>
    </w:p>
  </w:footnote>
  <w:footnote w:type="continuationSeparator" w:id="0">
    <w:p w:rsidR="00707FC7" w:rsidRDefault="00707FC7" w:rsidP="00E1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BC"/>
    <w:multiLevelType w:val="hybridMultilevel"/>
    <w:tmpl w:val="6B0E6832"/>
    <w:lvl w:ilvl="0" w:tplc="0E3EC2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A53D87"/>
    <w:multiLevelType w:val="hybridMultilevel"/>
    <w:tmpl w:val="6444FFE2"/>
    <w:lvl w:ilvl="0" w:tplc="385EEE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D24188"/>
    <w:multiLevelType w:val="hybridMultilevel"/>
    <w:tmpl w:val="7C623F60"/>
    <w:lvl w:ilvl="0" w:tplc="385EEE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D60BB7"/>
    <w:multiLevelType w:val="hybridMultilevel"/>
    <w:tmpl w:val="3AB82832"/>
    <w:lvl w:ilvl="0" w:tplc="385EEE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BF"/>
    <w:rsid w:val="000043C6"/>
    <w:rsid w:val="00105372"/>
    <w:rsid w:val="001100BF"/>
    <w:rsid w:val="00225850"/>
    <w:rsid w:val="00232211"/>
    <w:rsid w:val="00243345"/>
    <w:rsid w:val="002A4D4F"/>
    <w:rsid w:val="002F6EA2"/>
    <w:rsid w:val="00392186"/>
    <w:rsid w:val="00515397"/>
    <w:rsid w:val="00572EDB"/>
    <w:rsid w:val="005843CB"/>
    <w:rsid w:val="005F0464"/>
    <w:rsid w:val="006A6FC1"/>
    <w:rsid w:val="00707FC7"/>
    <w:rsid w:val="0099643E"/>
    <w:rsid w:val="009C4DC7"/>
    <w:rsid w:val="009C60B0"/>
    <w:rsid w:val="00A72105"/>
    <w:rsid w:val="00E13436"/>
    <w:rsid w:val="00E30AEF"/>
    <w:rsid w:val="00F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縮"/>
    <w:basedOn w:val="a"/>
    <w:rsid w:val="001100BF"/>
    <w:pPr>
      <w:widowControl w:val="0"/>
      <w:ind w:left="567"/>
      <w:jc w:val="both"/>
    </w:pPr>
    <w:rPr>
      <w:rFonts w:ascii="Verdana" w:eastAsia="標楷體" w:hAnsi="Verdana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E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43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436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721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縮"/>
    <w:basedOn w:val="a"/>
    <w:rsid w:val="001100BF"/>
    <w:pPr>
      <w:widowControl w:val="0"/>
      <w:ind w:left="567"/>
      <w:jc w:val="both"/>
    </w:pPr>
    <w:rPr>
      <w:rFonts w:ascii="Verdana" w:eastAsia="標楷體" w:hAnsi="Verdana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E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43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436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721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阮義蓁</dc:creator>
  <cp:lastModifiedBy>candy</cp:lastModifiedBy>
  <cp:revision>2</cp:revision>
  <cp:lastPrinted>2014-06-27T02:29:00Z</cp:lastPrinted>
  <dcterms:created xsi:type="dcterms:W3CDTF">2014-08-12T01:41:00Z</dcterms:created>
  <dcterms:modified xsi:type="dcterms:W3CDTF">2014-08-12T01:41:00Z</dcterms:modified>
</cp:coreProperties>
</file>