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64" w:rsidRPr="00243345" w:rsidRDefault="00243345" w:rsidP="00243345">
      <w:pPr>
        <w:jc w:val="center"/>
        <w:rPr>
          <w:rFonts w:ascii="標楷體" w:eastAsia="標楷體" w:hAnsi="標楷體"/>
          <w:b/>
          <w:bCs/>
          <w:iCs/>
          <w:sz w:val="28"/>
          <w:szCs w:val="28"/>
          <w:lang w:val="zh-TW"/>
        </w:rPr>
      </w:pPr>
      <w:bookmarkStart w:id="0" w:name="_GoBack"/>
      <w:bookmarkEnd w:id="0"/>
      <w:r w:rsidRPr="00243345">
        <w:rPr>
          <w:rFonts w:ascii="標楷體" w:eastAsia="標楷體" w:hAnsi="標楷體" w:hint="eastAsia"/>
          <w:b/>
          <w:bCs/>
          <w:iCs/>
          <w:sz w:val="28"/>
          <w:szCs w:val="28"/>
          <w:lang w:val="zh-TW"/>
        </w:rPr>
        <w:t>含</w:t>
      </w:r>
      <w:r w:rsidRPr="00243345">
        <w:rPr>
          <w:rFonts w:ascii="標楷體" w:eastAsia="標楷體" w:hAnsi="標楷體"/>
          <w:b/>
          <w:bCs/>
          <w:iCs/>
          <w:sz w:val="28"/>
          <w:szCs w:val="28"/>
          <w:lang w:val="zh-TW"/>
        </w:rPr>
        <w:t>Hydroxyethyl starch類成分藥品之中文仿單修訂內容</w:t>
      </w:r>
      <w:r>
        <w:rPr>
          <w:rFonts w:ascii="標楷體" w:eastAsia="標楷體" w:hAnsi="標楷體" w:hint="eastAsia"/>
          <w:b/>
          <w:bCs/>
          <w:iCs/>
          <w:sz w:val="28"/>
          <w:szCs w:val="28"/>
          <w:lang w:val="zh-TW"/>
        </w:rPr>
        <w:t>(2014.</w:t>
      </w:r>
      <w:r w:rsidR="00F6618C">
        <w:rPr>
          <w:rFonts w:ascii="標楷體" w:eastAsia="標楷體" w:hAnsi="標楷體" w:hint="eastAsia"/>
          <w:b/>
          <w:bCs/>
          <w:iCs/>
          <w:sz w:val="28"/>
          <w:szCs w:val="28"/>
          <w:lang w:val="zh-TW"/>
        </w:rPr>
        <w:t>8</w:t>
      </w:r>
      <w:r>
        <w:rPr>
          <w:rFonts w:ascii="標楷體" w:eastAsia="標楷體" w:hAnsi="標楷體" w:hint="eastAsia"/>
          <w:b/>
          <w:bCs/>
          <w:iCs/>
          <w:sz w:val="28"/>
          <w:szCs w:val="28"/>
          <w:lang w:val="zh-TW"/>
        </w:rPr>
        <w:t>)</w:t>
      </w:r>
    </w:p>
    <w:p w:rsidR="00243345" w:rsidRPr="002F6EA2" w:rsidRDefault="00243345" w:rsidP="001100BF">
      <w:pPr>
        <w:rPr>
          <w:rFonts w:ascii="標楷體" w:eastAsia="標楷體" w:hAnsi="標楷體"/>
          <w:b/>
          <w:bCs/>
          <w:iCs/>
          <w:sz w:val="26"/>
          <w:szCs w:val="26"/>
          <w:lang w:val="zh-TW"/>
        </w:rPr>
      </w:pPr>
    </w:p>
    <w:p w:rsidR="001100BF" w:rsidRPr="00243345" w:rsidRDefault="00243345" w:rsidP="002F6EA2">
      <w:pPr>
        <w:spacing w:line="276" w:lineRule="auto"/>
        <w:rPr>
          <w:rFonts w:ascii="標楷體" w:eastAsia="標楷體" w:hAnsi="標楷體"/>
          <w:bCs/>
          <w:iCs/>
          <w:sz w:val="26"/>
          <w:szCs w:val="26"/>
          <w:lang w:val="zh-TW"/>
        </w:rPr>
      </w:pPr>
      <w:r>
        <w:rPr>
          <w:rFonts w:ascii="標楷體" w:eastAsia="標楷體" w:hAnsi="標楷體" w:hint="eastAsia"/>
          <w:b/>
          <w:bCs/>
          <w:iCs/>
          <w:sz w:val="26"/>
          <w:szCs w:val="26"/>
          <w:lang w:val="zh-TW"/>
        </w:rPr>
        <w:t>一、</w:t>
      </w:r>
      <w:r w:rsidR="00A72105" w:rsidRPr="00A7210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須</w:t>
      </w:r>
      <w:r w:rsidR="001100BF" w:rsidRPr="0024334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於</w:t>
      </w:r>
      <w:r w:rsidR="001100BF" w:rsidRPr="00A72105">
        <w:rPr>
          <w:rFonts w:ascii="標楷體" w:eastAsia="標楷體" w:hAnsi="標楷體" w:hint="eastAsia"/>
          <w:b/>
          <w:bCs/>
          <w:iCs/>
          <w:sz w:val="26"/>
          <w:szCs w:val="26"/>
          <w:lang w:val="zh-TW"/>
        </w:rPr>
        <w:t>仿單之起首加刊黑框警語</w:t>
      </w:r>
      <w:r w:rsidRPr="0024334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如下</w:t>
      </w:r>
      <w:r w:rsidR="001100BF" w:rsidRPr="0024334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:</w:t>
      </w:r>
    </w:p>
    <w:p w:rsidR="005F0464" w:rsidRPr="00243345" w:rsidRDefault="00A72105" w:rsidP="00243345">
      <w:pPr>
        <w:spacing w:line="276" w:lineRule="auto"/>
        <w:ind w:leftChars="236" w:left="566"/>
        <w:rPr>
          <w:rFonts w:ascii="標楷體" w:eastAsia="標楷體" w:hAnsi="標楷體"/>
          <w:bCs/>
          <w:iCs/>
          <w:sz w:val="26"/>
          <w:szCs w:val="26"/>
          <w:lang w:val="zh-TW"/>
        </w:rPr>
      </w:pPr>
      <w:r w:rsidRPr="002F6EA2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「</w:t>
      </w:r>
      <w:r w:rsidR="001100BF" w:rsidRPr="0024334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敗血症等重症病患請勿使用，因使用本品可能增加致死率及接受腎臟替代療法(血液透析)的風險 (詳見「禁忌症」處)。</w:t>
      </w:r>
      <w:r w:rsidRPr="002F6EA2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」</w:t>
      </w:r>
    </w:p>
    <w:p w:rsidR="00243345" w:rsidRPr="00243345" w:rsidRDefault="00243345" w:rsidP="00A72105">
      <w:pPr>
        <w:spacing w:line="276" w:lineRule="auto"/>
        <w:ind w:leftChars="-118" w:left="-283"/>
        <w:rPr>
          <w:rFonts w:ascii="標楷體" w:eastAsia="標楷體" w:hAnsi="標楷體"/>
          <w:bCs/>
          <w:iCs/>
          <w:sz w:val="26"/>
          <w:szCs w:val="26"/>
          <w:lang w:val="zh-TW"/>
        </w:rPr>
      </w:pPr>
    </w:p>
    <w:p w:rsidR="00A72105" w:rsidRDefault="00243345" w:rsidP="00A72105">
      <w:pPr>
        <w:spacing w:line="276" w:lineRule="auto"/>
        <w:rPr>
          <w:rFonts w:ascii="標楷體" w:eastAsia="標楷體" w:hAnsi="標楷體"/>
          <w:bCs/>
          <w:iCs/>
          <w:sz w:val="26"/>
          <w:szCs w:val="26"/>
          <w:lang w:val="zh-TW"/>
        </w:rPr>
      </w:pPr>
      <w:r w:rsidRPr="0024334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二、</w:t>
      </w:r>
      <w:r w:rsidR="00A7210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須於</w:t>
      </w:r>
      <w:r w:rsidR="00A72105" w:rsidRPr="002F6EA2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「</w:t>
      </w:r>
      <w:r w:rsidR="00A72105" w:rsidRPr="00A72105">
        <w:rPr>
          <w:rFonts w:ascii="標楷體" w:eastAsia="標楷體" w:hAnsi="標楷體" w:hint="eastAsia"/>
          <w:b/>
          <w:bCs/>
          <w:iCs/>
          <w:sz w:val="26"/>
          <w:szCs w:val="26"/>
          <w:lang w:val="zh-TW"/>
        </w:rPr>
        <w:t>成分</w:t>
      </w:r>
      <w:r w:rsidR="00A72105" w:rsidRPr="002F6EA2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」</w:t>
      </w:r>
      <w:r w:rsidR="00A7210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處</w:t>
      </w:r>
      <w:r w:rsidR="001100BF" w:rsidRPr="0024334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明確標示產品之組成</w:t>
      </w:r>
      <w:r w:rsidR="00A7210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，</w:t>
      </w:r>
      <w:r w:rsidRPr="0024334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包含清楚標示分子量</w:t>
      </w:r>
      <w:r w:rsidR="00F6618C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(k</w:t>
      </w:r>
      <w:r w:rsidR="00A7210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D)</w:t>
      </w:r>
      <w:r w:rsidRPr="0024334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/置換比</w:t>
      </w:r>
    </w:p>
    <w:p w:rsidR="001100BF" w:rsidRPr="00243345" w:rsidRDefault="00A72105" w:rsidP="00A72105">
      <w:pPr>
        <w:spacing w:line="276" w:lineRule="auto"/>
        <w:rPr>
          <w:rFonts w:ascii="標楷體" w:eastAsia="標楷體" w:hAnsi="標楷體"/>
          <w:bCs/>
          <w:iCs/>
          <w:sz w:val="26"/>
          <w:szCs w:val="26"/>
          <w:lang w:val="zh-TW"/>
        </w:rPr>
      </w:pPr>
      <w:r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 xml:space="preserve">    (</w:t>
      </w:r>
      <w:r w:rsidR="00243345" w:rsidRPr="0024334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如:</w:t>
      </w:r>
      <w:r w:rsidR="001100BF" w:rsidRPr="0024334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130/0.4、450/0.7、70/0.5、200/0.5</w:t>
      </w:r>
      <w:r w:rsidR="001100BF" w:rsidRPr="00243345">
        <w:rPr>
          <w:rFonts w:ascii="標楷體" w:eastAsia="標楷體" w:hAnsi="標楷體"/>
          <w:bCs/>
          <w:iCs/>
          <w:sz w:val="26"/>
          <w:szCs w:val="26"/>
          <w:lang w:val="zh-TW"/>
        </w:rPr>
        <w:t>…</w:t>
      </w:r>
      <w:r w:rsidR="001100BF" w:rsidRPr="0024334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等)</w:t>
      </w:r>
    </w:p>
    <w:p w:rsidR="001100BF" w:rsidRPr="00243345" w:rsidRDefault="001100BF" w:rsidP="002F6EA2">
      <w:pPr>
        <w:spacing w:line="276" w:lineRule="auto"/>
        <w:rPr>
          <w:rFonts w:ascii="標楷體" w:eastAsia="標楷體" w:hAnsi="標楷體"/>
          <w:bCs/>
          <w:iCs/>
          <w:sz w:val="26"/>
          <w:szCs w:val="26"/>
          <w:lang w:val="zh-TW"/>
        </w:rPr>
      </w:pPr>
    </w:p>
    <w:p w:rsidR="001100BF" w:rsidRPr="002F6EA2" w:rsidRDefault="00243345" w:rsidP="002F6EA2">
      <w:pPr>
        <w:spacing w:line="276" w:lineRule="auto"/>
        <w:rPr>
          <w:rFonts w:ascii="標楷體" w:eastAsia="標楷體" w:hAnsi="標楷體"/>
          <w:b/>
          <w:bCs/>
          <w:iCs/>
          <w:sz w:val="26"/>
          <w:szCs w:val="26"/>
          <w:lang w:val="zh-TW"/>
        </w:rPr>
      </w:pPr>
      <w:r>
        <w:rPr>
          <w:rFonts w:ascii="標楷體" w:eastAsia="標楷體" w:hAnsi="標楷體" w:hint="eastAsia"/>
          <w:b/>
          <w:bCs/>
          <w:iCs/>
          <w:sz w:val="26"/>
          <w:szCs w:val="26"/>
          <w:lang w:val="zh-TW"/>
        </w:rPr>
        <w:t>三、</w:t>
      </w:r>
      <w:r w:rsidR="00A72105" w:rsidRPr="002F6EA2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「</w:t>
      </w:r>
      <w:r w:rsidR="001100BF" w:rsidRPr="002F6EA2">
        <w:rPr>
          <w:rFonts w:ascii="標楷體" w:eastAsia="標楷體" w:hAnsi="標楷體" w:hint="eastAsia"/>
          <w:b/>
          <w:bCs/>
          <w:iCs/>
          <w:sz w:val="26"/>
          <w:szCs w:val="26"/>
          <w:lang w:val="zh-TW"/>
        </w:rPr>
        <w:t>適應症</w:t>
      </w:r>
      <w:r w:rsidR="00A72105" w:rsidRPr="002F6EA2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」</w:t>
      </w:r>
      <w:r w:rsidRPr="00A7210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統一</w:t>
      </w:r>
      <w:r w:rsidR="001100BF" w:rsidRPr="00A7210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為:</w:t>
      </w:r>
    </w:p>
    <w:p w:rsidR="001100BF" w:rsidRPr="002F6EA2" w:rsidRDefault="001100BF" w:rsidP="00243345">
      <w:pPr>
        <w:spacing w:line="276" w:lineRule="auto"/>
        <w:ind w:leftChars="236" w:left="566"/>
        <w:rPr>
          <w:rFonts w:ascii="標楷體" w:eastAsia="標楷體" w:hAnsi="標楷體"/>
          <w:bCs/>
          <w:iCs/>
          <w:sz w:val="26"/>
          <w:szCs w:val="26"/>
          <w:lang w:val="zh-TW"/>
        </w:rPr>
      </w:pPr>
      <w:r w:rsidRPr="002F6EA2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「單獨使用晶質輸注液無法治療之急性出血導致之低血容積病人，</w:t>
      </w:r>
    </w:p>
    <w:p w:rsidR="001100BF" w:rsidRPr="002F6EA2" w:rsidRDefault="001100BF" w:rsidP="00243345">
      <w:pPr>
        <w:spacing w:line="276" w:lineRule="auto"/>
        <w:ind w:leftChars="236" w:left="566"/>
        <w:rPr>
          <w:rFonts w:ascii="標楷體" w:eastAsia="標楷體" w:hAnsi="標楷體"/>
          <w:bCs/>
          <w:iCs/>
          <w:sz w:val="26"/>
          <w:szCs w:val="26"/>
          <w:lang w:val="zh-TW"/>
        </w:rPr>
      </w:pPr>
      <w:r w:rsidRPr="002F6EA2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本品</w:t>
      </w:r>
      <w:r w:rsidRPr="002F6EA2">
        <w:rPr>
          <w:rFonts w:ascii="標楷體" w:eastAsia="標楷體" w:hAnsi="標楷體" w:hint="eastAsia"/>
          <w:bCs/>
          <w:iCs/>
          <w:spacing w:val="-4"/>
          <w:sz w:val="26"/>
          <w:szCs w:val="26"/>
          <w:lang w:val="zh-TW"/>
        </w:rPr>
        <w:t>無法取代紅血球及血漿中的凝血因子</w:t>
      </w:r>
      <w:r w:rsidRPr="002F6EA2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」</w:t>
      </w:r>
    </w:p>
    <w:p w:rsidR="001100BF" w:rsidRDefault="001100BF" w:rsidP="002F6EA2">
      <w:pPr>
        <w:spacing w:line="276" w:lineRule="auto"/>
        <w:rPr>
          <w:rFonts w:ascii="標楷體" w:eastAsia="標楷體" w:hAnsi="標楷體"/>
          <w:bCs/>
          <w:iCs/>
          <w:sz w:val="26"/>
          <w:szCs w:val="26"/>
          <w:lang w:val="zh-TW"/>
        </w:rPr>
      </w:pPr>
    </w:p>
    <w:p w:rsidR="001100BF" w:rsidRDefault="00A72105" w:rsidP="00A72105">
      <w:pPr>
        <w:spacing w:line="276" w:lineRule="auto"/>
        <w:ind w:left="567" w:hangingChars="218" w:hanging="567"/>
        <w:rPr>
          <w:rFonts w:ascii="標楷體" w:eastAsia="標楷體" w:hAnsi="標楷體"/>
          <w:bCs/>
          <w:iCs/>
          <w:sz w:val="26"/>
          <w:szCs w:val="26"/>
          <w:lang w:val="zh-TW"/>
        </w:rPr>
      </w:pPr>
      <w:r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四、</w:t>
      </w:r>
      <w:r w:rsidRPr="002F6EA2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「</w:t>
      </w:r>
      <w:r w:rsidR="001100BF" w:rsidRPr="002F6EA2">
        <w:rPr>
          <w:rFonts w:ascii="標楷體" w:eastAsia="標楷體" w:hAnsi="標楷體" w:hint="eastAsia"/>
          <w:b/>
          <w:bCs/>
          <w:iCs/>
          <w:sz w:val="26"/>
          <w:szCs w:val="26"/>
          <w:lang w:val="zh-TW"/>
        </w:rPr>
        <w:t>用法用量</w:t>
      </w:r>
      <w:r w:rsidRPr="002F6EA2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」</w:t>
      </w:r>
      <w:r w:rsidR="00243345" w:rsidRPr="00A7210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處需</w:t>
      </w:r>
      <w:r w:rsidR="001100BF" w:rsidRPr="00A7210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加刊</w:t>
      </w:r>
      <w:r w:rsidR="00243345" w:rsidRPr="00A7210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下列事項</w:t>
      </w:r>
      <w:r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，其他內容</w:t>
      </w:r>
      <w:r w:rsidRPr="002F6EA2">
        <w:rPr>
          <w:rFonts w:ascii="標楷體" w:eastAsia="標楷體" w:hAnsi="標楷體" w:hint="eastAsia"/>
          <w:sz w:val="26"/>
          <w:szCs w:val="26"/>
        </w:rPr>
        <w:t>請參考國外原廠仿單內容修訂</w:t>
      </w:r>
      <w:r w:rsidR="00F6618C">
        <w:rPr>
          <w:rFonts w:ascii="標楷體" w:eastAsia="標楷體" w:hAnsi="標楷體" w:hint="eastAsia"/>
          <w:sz w:val="26"/>
          <w:szCs w:val="26"/>
        </w:rPr>
        <w:t>並依藥品查驗登記審查準則檢附相關資料辦理變更登記</w:t>
      </w:r>
      <w:r w:rsidR="001100BF" w:rsidRPr="00A72105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:</w:t>
      </w:r>
    </w:p>
    <w:p w:rsidR="00A72105" w:rsidRDefault="001100BF" w:rsidP="00A72105">
      <w:pPr>
        <w:pStyle w:val="a8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A72105">
        <w:rPr>
          <w:rFonts w:ascii="標楷體" w:eastAsia="標楷體" w:hAnsi="標楷體" w:hint="eastAsia"/>
          <w:sz w:val="26"/>
          <w:szCs w:val="26"/>
        </w:rPr>
        <w:t>僅供靜脈輸注使用。</w:t>
      </w:r>
    </w:p>
    <w:p w:rsidR="00A72105" w:rsidRDefault="001100BF" w:rsidP="00A72105">
      <w:pPr>
        <w:pStyle w:val="a8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A72105">
        <w:rPr>
          <w:rFonts w:ascii="標楷體" w:eastAsia="標楷體" w:hAnsi="標楷體" w:hint="eastAsia"/>
          <w:sz w:val="26"/>
          <w:szCs w:val="26"/>
        </w:rPr>
        <w:t>僅可用於急性出血且晶質不足以維持病患穩定時。</w:t>
      </w:r>
    </w:p>
    <w:p w:rsidR="00A72105" w:rsidRDefault="001100BF" w:rsidP="00A72105">
      <w:pPr>
        <w:pStyle w:val="a8"/>
        <w:numPr>
          <w:ilvl w:val="0"/>
          <w:numId w:val="1"/>
        </w:numPr>
        <w:spacing w:line="276" w:lineRule="auto"/>
        <w:ind w:leftChars="0" w:left="993" w:hanging="993"/>
        <w:rPr>
          <w:rFonts w:ascii="標楷體" w:eastAsia="標楷體" w:hAnsi="標楷體"/>
          <w:sz w:val="26"/>
          <w:szCs w:val="26"/>
        </w:rPr>
      </w:pPr>
      <w:r w:rsidRPr="00A72105">
        <w:rPr>
          <w:rFonts w:ascii="標楷體" w:eastAsia="標楷體" w:hAnsi="標楷體" w:hint="eastAsia"/>
          <w:sz w:val="26"/>
          <w:szCs w:val="26"/>
        </w:rPr>
        <w:t>最初的10-20ml應緩慢輸注，並密切監測病患的狀況(及早發現是否出現任何過敏反應)</w:t>
      </w:r>
    </w:p>
    <w:p w:rsidR="009C60B0" w:rsidRPr="00A72105" w:rsidRDefault="001100BF" w:rsidP="00A72105">
      <w:pPr>
        <w:pStyle w:val="a8"/>
        <w:numPr>
          <w:ilvl w:val="0"/>
          <w:numId w:val="1"/>
        </w:numPr>
        <w:spacing w:line="276" w:lineRule="auto"/>
        <w:ind w:leftChars="0" w:left="993" w:hanging="993"/>
        <w:rPr>
          <w:rFonts w:ascii="標楷體" w:eastAsia="標楷體" w:hAnsi="標楷體"/>
          <w:sz w:val="26"/>
          <w:szCs w:val="26"/>
        </w:rPr>
      </w:pPr>
      <w:r w:rsidRPr="00A72105">
        <w:rPr>
          <w:rFonts w:ascii="標楷體" w:eastAsia="標楷體" w:hAnsi="標楷體" w:hint="eastAsia"/>
          <w:sz w:val="26"/>
          <w:szCs w:val="26"/>
        </w:rPr>
        <w:t>須使用最低有效劑量，並持續監測血液動力學相關數值，一旦達到適當的治療目的後即停止使用，不應超過每日建議最大劑量。</w:t>
      </w:r>
    </w:p>
    <w:p w:rsidR="001100BF" w:rsidRPr="002F6EA2" w:rsidRDefault="001100BF" w:rsidP="002F6EA2">
      <w:pPr>
        <w:spacing w:line="276" w:lineRule="auto"/>
        <w:ind w:left="461" w:hangingChars="177" w:hanging="461"/>
        <w:rPr>
          <w:rFonts w:ascii="標楷體" w:eastAsia="標楷體" w:hAnsi="標楷體"/>
          <w:b/>
          <w:bCs/>
          <w:iCs/>
          <w:sz w:val="26"/>
          <w:szCs w:val="26"/>
          <w:lang w:val="zh-TW"/>
        </w:rPr>
      </w:pPr>
    </w:p>
    <w:p w:rsidR="001100BF" w:rsidRPr="00A72105" w:rsidRDefault="00A72105" w:rsidP="00A72105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bCs/>
          <w:iCs/>
          <w:sz w:val="26"/>
          <w:szCs w:val="26"/>
          <w:lang w:val="zh-TW"/>
        </w:rPr>
        <w:t>五、</w:t>
      </w:r>
      <w:r w:rsidRPr="002F6EA2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「</w:t>
      </w:r>
      <w:r w:rsidR="001100BF" w:rsidRPr="002F6EA2">
        <w:rPr>
          <w:rFonts w:ascii="標楷體" w:eastAsia="標楷體" w:hAnsi="標楷體" w:hint="eastAsia"/>
          <w:b/>
          <w:sz w:val="26"/>
          <w:szCs w:val="26"/>
        </w:rPr>
        <w:t>禁忌症</w:t>
      </w:r>
      <w:r w:rsidRPr="002F6EA2">
        <w:rPr>
          <w:rFonts w:ascii="標楷體" w:eastAsia="標楷體" w:hAnsi="標楷體" w:hint="eastAsia"/>
          <w:bCs/>
          <w:iCs/>
          <w:sz w:val="26"/>
          <w:szCs w:val="26"/>
          <w:lang w:val="zh-TW"/>
        </w:rPr>
        <w:t>」</w:t>
      </w:r>
      <w:r w:rsidRPr="00A72105">
        <w:rPr>
          <w:rFonts w:ascii="標楷體" w:eastAsia="標楷體" w:hAnsi="標楷體" w:hint="eastAsia"/>
          <w:sz w:val="26"/>
          <w:szCs w:val="26"/>
        </w:rPr>
        <w:t>需</w:t>
      </w:r>
      <w:r w:rsidR="001100BF" w:rsidRPr="00A72105">
        <w:rPr>
          <w:rFonts w:ascii="標楷體" w:eastAsia="標楷體" w:hAnsi="標楷體" w:hint="eastAsia"/>
          <w:sz w:val="26"/>
          <w:szCs w:val="26"/>
        </w:rPr>
        <w:t>完整刊載</w:t>
      </w:r>
      <w:r w:rsidRPr="00A72105">
        <w:rPr>
          <w:rFonts w:ascii="標楷體" w:eastAsia="標楷體" w:hAnsi="標楷體" w:hint="eastAsia"/>
          <w:sz w:val="26"/>
          <w:szCs w:val="26"/>
        </w:rPr>
        <w:t>下列</w:t>
      </w:r>
      <w:r>
        <w:rPr>
          <w:rFonts w:ascii="標楷體" w:eastAsia="標楷體" w:hAnsi="標楷體" w:hint="eastAsia"/>
          <w:sz w:val="26"/>
          <w:szCs w:val="26"/>
        </w:rPr>
        <w:t>事項</w:t>
      </w:r>
      <w:r w:rsidRPr="00A72105">
        <w:rPr>
          <w:rFonts w:ascii="標楷體" w:eastAsia="標楷體" w:hAnsi="標楷體" w:hint="eastAsia"/>
          <w:sz w:val="26"/>
          <w:szCs w:val="26"/>
        </w:rPr>
        <w:t>:</w:t>
      </w:r>
    </w:p>
    <w:p w:rsidR="001100BF" w:rsidRPr="002F6EA2" w:rsidRDefault="001100BF" w:rsidP="002F6EA2">
      <w:pPr>
        <w:pStyle w:val="a3"/>
        <w:spacing w:line="276" w:lineRule="auto"/>
        <w:ind w:left="851" w:hanging="284"/>
        <w:rPr>
          <w:rFonts w:ascii="標楷體" w:hAnsi="標楷體"/>
          <w:bCs/>
          <w:iCs/>
          <w:sz w:val="26"/>
          <w:szCs w:val="26"/>
          <w:lang w:val="zh-TW"/>
        </w:rPr>
      </w:pPr>
      <w:r w:rsidRPr="002F6EA2">
        <w:rPr>
          <w:rFonts w:ascii="標楷體" w:hAnsi="標楷體" w:hint="eastAsia"/>
          <w:iCs/>
          <w:sz w:val="26"/>
          <w:szCs w:val="26"/>
          <w:lang w:val="zh-TW"/>
        </w:rPr>
        <w:t>-</w:t>
      </w:r>
      <w:r w:rsidRPr="002F6EA2">
        <w:rPr>
          <w:rFonts w:ascii="標楷體" w:hAnsi="標楷體" w:hint="eastAsia"/>
          <w:iCs/>
          <w:sz w:val="26"/>
          <w:szCs w:val="26"/>
          <w:lang w:val="zh-TW"/>
        </w:rPr>
        <w:tab/>
      </w:r>
      <w:r w:rsidRPr="002F6EA2">
        <w:rPr>
          <w:rFonts w:ascii="標楷體" w:hAnsi="標楷體" w:hint="eastAsia"/>
          <w:bCs/>
          <w:iCs/>
          <w:sz w:val="26"/>
          <w:szCs w:val="26"/>
          <w:lang w:val="zh-TW"/>
        </w:rPr>
        <w:t>敗血症患者</w:t>
      </w:r>
    </w:p>
    <w:p w:rsidR="001100BF" w:rsidRPr="002F6EA2" w:rsidRDefault="001100BF" w:rsidP="002F6EA2">
      <w:pPr>
        <w:pStyle w:val="a3"/>
        <w:spacing w:line="276" w:lineRule="auto"/>
        <w:rPr>
          <w:rFonts w:ascii="標楷體" w:hAnsi="標楷體"/>
          <w:bCs/>
          <w:iCs/>
          <w:sz w:val="26"/>
          <w:szCs w:val="26"/>
          <w:lang w:val="zh-TW"/>
        </w:rPr>
      </w:pPr>
      <w:r w:rsidRPr="002F6EA2">
        <w:rPr>
          <w:rFonts w:ascii="標楷體" w:hAnsi="標楷體" w:hint="eastAsia"/>
          <w:bCs/>
          <w:iCs/>
          <w:sz w:val="26"/>
          <w:szCs w:val="26"/>
          <w:lang w:val="zh-TW"/>
        </w:rPr>
        <w:t>- 重症患者</w:t>
      </w:r>
    </w:p>
    <w:p w:rsidR="001100BF" w:rsidRPr="002F6EA2" w:rsidRDefault="001100BF" w:rsidP="002F6EA2">
      <w:pPr>
        <w:pStyle w:val="a3"/>
        <w:spacing w:line="276" w:lineRule="auto"/>
        <w:ind w:left="851" w:hanging="284"/>
        <w:rPr>
          <w:rFonts w:ascii="標楷體" w:hAnsi="標楷體"/>
          <w:bCs/>
          <w:iCs/>
          <w:sz w:val="26"/>
          <w:szCs w:val="26"/>
        </w:rPr>
      </w:pPr>
      <w:r w:rsidRPr="002F6EA2">
        <w:rPr>
          <w:rFonts w:ascii="標楷體" w:hAnsi="標楷體" w:hint="eastAsia"/>
          <w:bCs/>
          <w:iCs/>
          <w:sz w:val="26"/>
          <w:szCs w:val="26"/>
          <w:lang w:val="zh-TW"/>
        </w:rPr>
        <w:t>- 燒燙傷患者</w:t>
      </w:r>
    </w:p>
    <w:p w:rsidR="001100BF" w:rsidRPr="002F6EA2" w:rsidRDefault="001100BF" w:rsidP="002F6EA2">
      <w:pPr>
        <w:pStyle w:val="a3"/>
        <w:spacing w:line="276" w:lineRule="auto"/>
        <w:ind w:left="851" w:hanging="284"/>
        <w:rPr>
          <w:rFonts w:ascii="標楷體" w:hAnsi="標楷體"/>
          <w:bCs/>
          <w:iCs/>
          <w:sz w:val="26"/>
          <w:szCs w:val="26"/>
          <w:lang w:val="zh-TW"/>
        </w:rPr>
      </w:pPr>
      <w:r w:rsidRPr="002F6EA2">
        <w:rPr>
          <w:rFonts w:ascii="標楷體" w:hAnsi="標楷體" w:hint="eastAsia"/>
          <w:iCs/>
          <w:sz w:val="26"/>
          <w:szCs w:val="26"/>
          <w:lang w:val="zh-TW"/>
        </w:rPr>
        <w:t>-</w:t>
      </w:r>
      <w:r w:rsidRPr="002F6EA2">
        <w:rPr>
          <w:rFonts w:ascii="標楷體" w:hAnsi="標楷體" w:hint="eastAsia"/>
          <w:iCs/>
          <w:sz w:val="26"/>
          <w:szCs w:val="26"/>
          <w:lang w:val="zh-TW"/>
        </w:rPr>
        <w:tab/>
        <w:t>嚴重</w:t>
      </w:r>
      <w:r w:rsidRPr="002F6EA2">
        <w:rPr>
          <w:rFonts w:ascii="標楷體" w:hAnsi="標楷體" w:hint="eastAsia"/>
          <w:bCs/>
          <w:iCs/>
          <w:sz w:val="26"/>
          <w:szCs w:val="26"/>
          <w:lang w:val="zh-TW"/>
        </w:rPr>
        <w:t>肝臟疾病的患者</w:t>
      </w:r>
    </w:p>
    <w:p w:rsidR="001100BF" w:rsidRPr="002F6EA2" w:rsidRDefault="001100BF" w:rsidP="002F6EA2">
      <w:pPr>
        <w:pStyle w:val="a3"/>
        <w:spacing w:line="276" w:lineRule="auto"/>
        <w:ind w:left="851" w:hanging="284"/>
        <w:rPr>
          <w:rFonts w:ascii="標楷體" w:hAnsi="標楷體"/>
          <w:bCs/>
          <w:iCs/>
          <w:sz w:val="26"/>
          <w:szCs w:val="26"/>
          <w:lang w:val="zh-TW"/>
        </w:rPr>
      </w:pPr>
      <w:r w:rsidRPr="002F6EA2">
        <w:rPr>
          <w:rFonts w:ascii="標楷體" w:hAnsi="標楷體" w:hint="eastAsia"/>
          <w:iCs/>
          <w:sz w:val="26"/>
          <w:szCs w:val="26"/>
          <w:lang w:val="zh-TW"/>
        </w:rPr>
        <w:t>-</w:t>
      </w:r>
      <w:r w:rsidRPr="002F6EA2">
        <w:rPr>
          <w:rFonts w:ascii="標楷體" w:hAnsi="標楷體" w:hint="eastAsia"/>
          <w:iCs/>
          <w:sz w:val="26"/>
          <w:szCs w:val="26"/>
          <w:lang w:val="zh-TW"/>
        </w:rPr>
        <w:tab/>
      </w:r>
      <w:r w:rsidRPr="002F6EA2">
        <w:rPr>
          <w:rFonts w:ascii="標楷體" w:hAnsi="標楷體" w:hint="eastAsia"/>
          <w:bCs/>
          <w:iCs/>
          <w:sz w:val="26"/>
          <w:szCs w:val="26"/>
          <w:lang w:val="zh-TW"/>
        </w:rPr>
        <w:t>已知對羥基乙基澱粉或本品賦形劑過敏者</w:t>
      </w:r>
    </w:p>
    <w:p w:rsidR="001100BF" w:rsidRPr="002F6EA2" w:rsidRDefault="001100BF" w:rsidP="002F6EA2">
      <w:pPr>
        <w:pStyle w:val="a3"/>
        <w:spacing w:line="276" w:lineRule="auto"/>
        <w:ind w:left="851" w:hanging="284"/>
        <w:rPr>
          <w:rFonts w:ascii="標楷體" w:hAnsi="標楷體"/>
          <w:bCs/>
          <w:iCs/>
          <w:sz w:val="26"/>
          <w:szCs w:val="26"/>
          <w:lang w:val="zh-TW"/>
        </w:rPr>
      </w:pPr>
      <w:r w:rsidRPr="002F6EA2">
        <w:rPr>
          <w:rFonts w:ascii="標楷體" w:hAnsi="標楷體" w:hint="eastAsia"/>
          <w:iCs/>
          <w:sz w:val="26"/>
          <w:szCs w:val="26"/>
          <w:lang w:val="zh-TW"/>
        </w:rPr>
        <w:t>-</w:t>
      </w:r>
      <w:r w:rsidRPr="002F6EA2">
        <w:rPr>
          <w:rFonts w:ascii="標楷體" w:hAnsi="標楷體" w:hint="eastAsia"/>
          <w:iCs/>
          <w:sz w:val="26"/>
          <w:szCs w:val="26"/>
          <w:lang w:val="zh-TW"/>
        </w:rPr>
        <w:tab/>
        <w:t>體液超過負荷(體內水分過多)，尤其是肺水腫與鬱血性心衰竭</w:t>
      </w:r>
    </w:p>
    <w:p w:rsidR="001100BF" w:rsidRPr="002F6EA2" w:rsidRDefault="001100BF" w:rsidP="002F6EA2">
      <w:pPr>
        <w:pStyle w:val="a3"/>
        <w:spacing w:line="276" w:lineRule="auto"/>
        <w:ind w:left="851" w:hanging="284"/>
        <w:rPr>
          <w:rFonts w:ascii="標楷體" w:hAnsi="標楷體"/>
          <w:bCs/>
          <w:iCs/>
          <w:sz w:val="26"/>
          <w:szCs w:val="26"/>
          <w:lang w:val="zh-TW"/>
        </w:rPr>
      </w:pPr>
      <w:r w:rsidRPr="002F6EA2">
        <w:rPr>
          <w:rFonts w:ascii="標楷體" w:hAnsi="標楷體" w:hint="eastAsia"/>
          <w:iCs/>
          <w:sz w:val="26"/>
          <w:szCs w:val="26"/>
          <w:lang w:val="zh-TW"/>
        </w:rPr>
        <w:t>-</w:t>
      </w:r>
      <w:r w:rsidRPr="002F6EA2">
        <w:rPr>
          <w:rFonts w:ascii="標楷體" w:hAnsi="標楷體" w:hint="eastAsia"/>
          <w:iCs/>
          <w:sz w:val="26"/>
          <w:szCs w:val="26"/>
          <w:lang w:val="zh-TW"/>
        </w:rPr>
        <w:tab/>
      </w:r>
      <w:r w:rsidRPr="002F6EA2">
        <w:rPr>
          <w:rFonts w:ascii="標楷體" w:hAnsi="標楷體" w:hint="eastAsia"/>
          <w:bCs/>
          <w:iCs/>
          <w:sz w:val="26"/>
          <w:szCs w:val="26"/>
          <w:lang w:val="zh-TW"/>
        </w:rPr>
        <w:t>有凝血或出血疾患的患者</w:t>
      </w:r>
    </w:p>
    <w:p w:rsidR="001100BF" w:rsidRPr="002F6EA2" w:rsidRDefault="001100BF" w:rsidP="002F6EA2">
      <w:pPr>
        <w:pStyle w:val="a3"/>
        <w:spacing w:line="276" w:lineRule="auto"/>
        <w:ind w:left="851" w:hanging="284"/>
        <w:rPr>
          <w:rFonts w:ascii="標楷體" w:hAnsi="標楷體"/>
          <w:bCs/>
          <w:iCs/>
          <w:sz w:val="26"/>
          <w:szCs w:val="26"/>
          <w:lang w:val="zh-TW"/>
        </w:rPr>
      </w:pPr>
      <w:r w:rsidRPr="002F6EA2">
        <w:rPr>
          <w:rFonts w:ascii="標楷體" w:hAnsi="標楷體" w:hint="eastAsia"/>
          <w:iCs/>
          <w:sz w:val="26"/>
          <w:szCs w:val="26"/>
          <w:lang w:val="zh-TW"/>
        </w:rPr>
        <w:t>-</w:t>
      </w:r>
      <w:r w:rsidRPr="002F6EA2">
        <w:rPr>
          <w:rFonts w:ascii="標楷體" w:hAnsi="標楷體" w:hint="eastAsia"/>
          <w:iCs/>
          <w:sz w:val="26"/>
          <w:szCs w:val="26"/>
          <w:lang w:val="zh-TW"/>
        </w:rPr>
        <w:tab/>
      </w:r>
      <w:r w:rsidRPr="002F6EA2">
        <w:rPr>
          <w:rFonts w:ascii="標楷體" w:hAnsi="標楷體" w:hint="eastAsia"/>
          <w:bCs/>
          <w:iCs/>
          <w:sz w:val="26"/>
          <w:szCs w:val="26"/>
          <w:lang w:val="zh-TW"/>
        </w:rPr>
        <w:t>腎衰竭且併有非血液容積過低導致的寡尿症或無尿症</w:t>
      </w:r>
    </w:p>
    <w:p w:rsidR="001100BF" w:rsidRPr="002F6EA2" w:rsidRDefault="001100BF" w:rsidP="002F6EA2">
      <w:pPr>
        <w:pStyle w:val="a3"/>
        <w:spacing w:line="276" w:lineRule="auto"/>
        <w:ind w:left="851" w:hanging="284"/>
        <w:rPr>
          <w:rFonts w:ascii="標楷體" w:hAnsi="標楷體"/>
          <w:bCs/>
          <w:iCs/>
          <w:sz w:val="26"/>
          <w:szCs w:val="26"/>
          <w:lang w:val="zh-TW"/>
        </w:rPr>
      </w:pPr>
      <w:r w:rsidRPr="002F6EA2">
        <w:rPr>
          <w:rFonts w:ascii="標楷體" w:hAnsi="標楷體" w:hint="eastAsia"/>
          <w:iCs/>
          <w:sz w:val="26"/>
          <w:szCs w:val="26"/>
          <w:lang w:val="zh-TW"/>
        </w:rPr>
        <w:t>-</w:t>
      </w:r>
      <w:r w:rsidRPr="002F6EA2">
        <w:rPr>
          <w:rFonts w:ascii="標楷體" w:hAnsi="標楷體" w:hint="eastAsia"/>
          <w:iCs/>
          <w:sz w:val="26"/>
          <w:szCs w:val="26"/>
          <w:lang w:val="zh-TW"/>
        </w:rPr>
        <w:tab/>
      </w:r>
      <w:r w:rsidRPr="002F6EA2">
        <w:rPr>
          <w:rFonts w:ascii="標楷體" w:hAnsi="標楷體" w:hint="eastAsia"/>
          <w:bCs/>
          <w:iCs/>
          <w:sz w:val="26"/>
          <w:szCs w:val="26"/>
          <w:lang w:val="zh-TW"/>
        </w:rPr>
        <w:t>接受腎臟透析治療的患者</w:t>
      </w:r>
    </w:p>
    <w:p w:rsidR="00A72105" w:rsidRPr="002F6EA2" w:rsidRDefault="001100BF" w:rsidP="00A72105">
      <w:pPr>
        <w:pStyle w:val="a3"/>
        <w:spacing w:line="276" w:lineRule="auto"/>
        <w:ind w:left="851" w:hanging="284"/>
        <w:rPr>
          <w:rFonts w:ascii="標楷體" w:hAnsi="標楷體"/>
          <w:bCs/>
          <w:iCs/>
          <w:sz w:val="26"/>
          <w:szCs w:val="26"/>
          <w:lang w:val="zh-TW"/>
        </w:rPr>
      </w:pPr>
      <w:r w:rsidRPr="002F6EA2">
        <w:rPr>
          <w:rFonts w:ascii="標楷體" w:hAnsi="標楷體" w:hint="eastAsia"/>
          <w:iCs/>
          <w:sz w:val="26"/>
          <w:szCs w:val="26"/>
          <w:lang w:val="zh-TW"/>
        </w:rPr>
        <w:t>-</w:t>
      </w:r>
      <w:r w:rsidRPr="002F6EA2">
        <w:rPr>
          <w:rFonts w:ascii="標楷體" w:hAnsi="標楷體" w:hint="eastAsia"/>
          <w:iCs/>
          <w:sz w:val="26"/>
          <w:szCs w:val="26"/>
          <w:lang w:val="zh-TW"/>
        </w:rPr>
        <w:tab/>
      </w:r>
      <w:r w:rsidR="00A72105" w:rsidRPr="002F6EA2">
        <w:rPr>
          <w:rFonts w:ascii="標楷體" w:hAnsi="標楷體" w:hint="eastAsia"/>
          <w:bCs/>
          <w:iCs/>
          <w:sz w:val="26"/>
          <w:szCs w:val="26"/>
          <w:lang w:val="zh-TW"/>
        </w:rPr>
        <w:t>嚴重高鈉血症或嚴重高氯血症的患者</w:t>
      </w:r>
    </w:p>
    <w:p w:rsidR="00A72105" w:rsidRDefault="00A72105" w:rsidP="00A72105">
      <w:pPr>
        <w:pStyle w:val="a3"/>
        <w:spacing w:line="276" w:lineRule="auto"/>
        <w:rPr>
          <w:rFonts w:ascii="標楷體" w:hAnsi="標楷體"/>
          <w:bCs/>
          <w:iCs/>
          <w:sz w:val="26"/>
          <w:szCs w:val="26"/>
          <w:lang w:val="zh-TW"/>
        </w:rPr>
      </w:pPr>
      <w:r w:rsidRPr="002F6EA2">
        <w:rPr>
          <w:rFonts w:ascii="標楷體" w:hAnsi="標楷體" w:hint="eastAsia"/>
          <w:iCs/>
          <w:sz w:val="26"/>
          <w:szCs w:val="26"/>
          <w:lang w:val="zh-TW"/>
        </w:rPr>
        <w:t xml:space="preserve">- </w:t>
      </w:r>
      <w:r w:rsidRPr="002F6EA2">
        <w:rPr>
          <w:rFonts w:ascii="標楷體" w:hAnsi="標楷體" w:hint="eastAsia"/>
          <w:bCs/>
          <w:iCs/>
          <w:sz w:val="26"/>
          <w:szCs w:val="26"/>
          <w:lang w:val="zh-TW"/>
        </w:rPr>
        <w:t>顱內出血的患者</w:t>
      </w:r>
    </w:p>
    <w:p w:rsidR="001100BF" w:rsidRDefault="00A72105" w:rsidP="00A72105">
      <w:pPr>
        <w:pStyle w:val="a3"/>
        <w:spacing w:line="276" w:lineRule="auto"/>
        <w:ind w:left="851" w:hanging="284"/>
        <w:rPr>
          <w:rFonts w:ascii="標楷體" w:hAnsi="標楷體"/>
          <w:bCs/>
          <w:iCs/>
          <w:sz w:val="26"/>
          <w:szCs w:val="26"/>
          <w:lang w:val="zh-TW"/>
        </w:rPr>
      </w:pPr>
      <w:r>
        <w:rPr>
          <w:rFonts w:ascii="標楷體" w:hAnsi="標楷體" w:hint="eastAsia"/>
          <w:bCs/>
          <w:iCs/>
          <w:sz w:val="26"/>
          <w:szCs w:val="26"/>
          <w:lang w:val="zh-TW"/>
        </w:rPr>
        <w:t>- 器官移植患者</w:t>
      </w:r>
    </w:p>
    <w:p w:rsidR="00A72105" w:rsidRDefault="00A72105" w:rsidP="00A72105">
      <w:pPr>
        <w:pStyle w:val="a3"/>
        <w:spacing w:line="276" w:lineRule="auto"/>
        <w:rPr>
          <w:rFonts w:ascii="標楷體" w:hAnsi="標楷體"/>
          <w:b/>
          <w:bCs/>
          <w:iCs/>
          <w:sz w:val="26"/>
          <w:szCs w:val="26"/>
          <w:lang w:val="zh-TW"/>
        </w:rPr>
      </w:pPr>
      <w:r>
        <w:rPr>
          <w:rFonts w:ascii="標楷體" w:hAnsi="標楷體" w:hint="eastAsia"/>
          <w:bCs/>
          <w:iCs/>
          <w:sz w:val="26"/>
          <w:szCs w:val="26"/>
          <w:lang w:val="zh-TW"/>
        </w:rPr>
        <w:t>- 嚴重高鉀血症</w:t>
      </w:r>
      <w:r w:rsidRPr="00A72105">
        <w:rPr>
          <w:rFonts w:ascii="標楷體" w:hAnsi="標楷體" w:hint="eastAsia"/>
          <w:b/>
          <w:bCs/>
          <w:iCs/>
          <w:sz w:val="26"/>
          <w:szCs w:val="26"/>
          <w:lang w:val="zh-TW"/>
        </w:rPr>
        <w:t>(</w:t>
      </w:r>
      <w:r>
        <w:rPr>
          <w:rFonts w:ascii="標楷體" w:hAnsi="標楷體" w:hint="eastAsia"/>
          <w:b/>
          <w:bCs/>
          <w:iCs/>
          <w:sz w:val="26"/>
          <w:szCs w:val="26"/>
          <w:lang w:val="zh-TW"/>
        </w:rPr>
        <w:t>僅適用於</w:t>
      </w:r>
      <w:r w:rsidRPr="00A72105">
        <w:rPr>
          <w:rFonts w:ascii="標楷體" w:hAnsi="標楷體" w:hint="eastAsia"/>
          <w:b/>
          <w:bCs/>
          <w:iCs/>
          <w:sz w:val="26"/>
          <w:szCs w:val="26"/>
          <w:lang w:val="zh-TW"/>
        </w:rPr>
        <w:t>含鉀離子</w:t>
      </w:r>
      <w:r>
        <w:rPr>
          <w:rFonts w:ascii="標楷體" w:hAnsi="標楷體" w:hint="eastAsia"/>
          <w:b/>
          <w:bCs/>
          <w:iCs/>
          <w:sz w:val="26"/>
          <w:szCs w:val="26"/>
          <w:lang w:val="zh-TW"/>
        </w:rPr>
        <w:t>之產品</w:t>
      </w:r>
      <w:r w:rsidRPr="00A72105">
        <w:rPr>
          <w:rFonts w:ascii="標楷體" w:hAnsi="標楷體" w:hint="eastAsia"/>
          <w:b/>
          <w:bCs/>
          <w:iCs/>
          <w:sz w:val="26"/>
          <w:szCs w:val="26"/>
          <w:lang w:val="zh-TW"/>
        </w:rPr>
        <w:t>)</w:t>
      </w:r>
    </w:p>
    <w:p w:rsidR="00A72105" w:rsidRDefault="00A72105" w:rsidP="00A72105">
      <w:pPr>
        <w:pStyle w:val="a3"/>
        <w:spacing w:line="276" w:lineRule="auto"/>
        <w:ind w:left="0"/>
        <w:rPr>
          <w:rFonts w:ascii="標楷體" w:hAnsi="標楷體"/>
          <w:b/>
          <w:bCs/>
          <w:iCs/>
          <w:sz w:val="26"/>
          <w:szCs w:val="26"/>
          <w:lang w:val="zh-TW"/>
        </w:rPr>
      </w:pPr>
    </w:p>
    <w:p w:rsidR="001100BF" w:rsidRDefault="00A72105" w:rsidP="00A72105">
      <w:pPr>
        <w:pStyle w:val="a3"/>
        <w:spacing w:line="276" w:lineRule="auto"/>
        <w:ind w:left="0"/>
        <w:rPr>
          <w:rFonts w:ascii="標楷體" w:hAnsi="標楷體"/>
          <w:bCs/>
          <w:iCs/>
          <w:sz w:val="26"/>
          <w:szCs w:val="26"/>
          <w:lang w:val="zh-TW"/>
        </w:rPr>
      </w:pPr>
      <w:r>
        <w:rPr>
          <w:rFonts w:ascii="標楷體" w:hAnsi="標楷體" w:hint="eastAsia"/>
          <w:b/>
          <w:bCs/>
          <w:iCs/>
          <w:sz w:val="26"/>
          <w:szCs w:val="26"/>
          <w:lang w:val="zh-TW"/>
        </w:rPr>
        <w:lastRenderedPageBreak/>
        <w:t>六、</w:t>
      </w:r>
      <w:r w:rsidRPr="002F6EA2">
        <w:rPr>
          <w:rFonts w:ascii="標楷體" w:hAnsi="標楷體" w:hint="eastAsia"/>
          <w:bCs/>
          <w:iCs/>
          <w:sz w:val="26"/>
          <w:szCs w:val="26"/>
          <w:lang w:val="zh-TW"/>
        </w:rPr>
        <w:t>「</w:t>
      </w:r>
      <w:r w:rsidR="001100BF" w:rsidRPr="002F6EA2">
        <w:rPr>
          <w:rFonts w:ascii="標楷體" w:hAnsi="標楷體" w:hint="eastAsia"/>
          <w:b/>
          <w:bCs/>
          <w:iCs/>
          <w:sz w:val="26"/>
          <w:szCs w:val="26"/>
          <w:lang w:val="zh-TW"/>
        </w:rPr>
        <w:t>警語及注意事項</w:t>
      </w:r>
      <w:r w:rsidRPr="002F6EA2">
        <w:rPr>
          <w:rFonts w:ascii="標楷體" w:hAnsi="標楷體" w:hint="eastAsia"/>
          <w:bCs/>
          <w:iCs/>
          <w:sz w:val="26"/>
          <w:szCs w:val="26"/>
          <w:lang w:val="zh-TW"/>
        </w:rPr>
        <w:t>」</w:t>
      </w:r>
      <w:r>
        <w:rPr>
          <w:rFonts w:ascii="標楷體" w:hAnsi="標楷體" w:hint="eastAsia"/>
          <w:bCs/>
          <w:iCs/>
          <w:sz w:val="26"/>
          <w:szCs w:val="26"/>
          <w:lang w:val="zh-TW"/>
        </w:rPr>
        <w:t>處</w:t>
      </w:r>
      <w:r w:rsidR="0099643E" w:rsidRPr="00A72105">
        <w:rPr>
          <w:rFonts w:ascii="標楷體" w:hAnsi="標楷體" w:hint="eastAsia"/>
          <w:bCs/>
          <w:iCs/>
          <w:sz w:val="26"/>
          <w:szCs w:val="26"/>
          <w:lang w:val="zh-TW"/>
        </w:rPr>
        <w:t>至少須包含</w:t>
      </w:r>
      <w:r w:rsidR="001100BF" w:rsidRPr="00A72105">
        <w:rPr>
          <w:rFonts w:ascii="標楷體" w:hAnsi="標楷體" w:hint="eastAsia"/>
          <w:bCs/>
          <w:iCs/>
          <w:sz w:val="26"/>
          <w:szCs w:val="26"/>
          <w:lang w:val="zh-TW"/>
        </w:rPr>
        <w:t>下列內容</w:t>
      </w:r>
      <w:r w:rsidRPr="00A72105">
        <w:rPr>
          <w:rFonts w:ascii="標楷體" w:hAnsi="標楷體" w:hint="eastAsia"/>
          <w:bCs/>
          <w:iCs/>
          <w:sz w:val="26"/>
          <w:szCs w:val="26"/>
          <w:lang w:val="zh-TW"/>
        </w:rPr>
        <w:t>:</w:t>
      </w:r>
    </w:p>
    <w:p w:rsidR="00A72105" w:rsidRDefault="009C60B0" w:rsidP="00A72105">
      <w:pPr>
        <w:pStyle w:val="a8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A72105">
        <w:rPr>
          <w:rFonts w:ascii="標楷體" w:eastAsia="標楷體" w:hAnsi="標楷體" w:hint="eastAsia"/>
          <w:sz w:val="26"/>
          <w:szCs w:val="26"/>
        </w:rPr>
        <w:t>於手術與創傷患者尚缺乏長期安全性資料。</w:t>
      </w:r>
    </w:p>
    <w:p w:rsidR="00A72105" w:rsidRDefault="001100BF" w:rsidP="00A72105">
      <w:pPr>
        <w:pStyle w:val="a8"/>
        <w:numPr>
          <w:ilvl w:val="0"/>
          <w:numId w:val="3"/>
        </w:numPr>
        <w:spacing w:line="276" w:lineRule="auto"/>
        <w:ind w:leftChars="0" w:left="993" w:hanging="993"/>
        <w:rPr>
          <w:rFonts w:ascii="標楷體" w:eastAsia="標楷體" w:hAnsi="標楷體"/>
          <w:sz w:val="26"/>
          <w:szCs w:val="26"/>
        </w:rPr>
      </w:pPr>
      <w:r w:rsidRPr="00A72105">
        <w:rPr>
          <w:rFonts w:ascii="標楷體" w:eastAsia="標楷體" w:hAnsi="標楷體" w:hint="eastAsia"/>
          <w:sz w:val="26"/>
          <w:szCs w:val="26"/>
        </w:rPr>
        <w:t>含羥乙基澱粉之溶液使用中曾有全身性過敏/類全身性過敏反應(過敏、輕度類流感症狀、心搏過緩、心搏過速、支氣管痙攣、非心因性肺水腫)的通報。</w:t>
      </w:r>
      <w:r w:rsidR="009C60B0" w:rsidRPr="00A72105">
        <w:rPr>
          <w:rFonts w:ascii="標楷體" w:eastAsia="標楷體" w:hAnsi="標楷體" w:hint="eastAsia"/>
          <w:sz w:val="26"/>
          <w:szCs w:val="26"/>
        </w:rPr>
        <w:t>若</w:t>
      </w:r>
      <w:r w:rsidRPr="00A72105">
        <w:rPr>
          <w:rFonts w:ascii="標楷體" w:eastAsia="標楷體" w:hAnsi="標楷體" w:hint="eastAsia"/>
          <w:sz w:val="26"/>
          <w:szCs w:val="26"/>
        </w:rPr>
        <w:t>發生過敏反應，應立即停止投藥並採取適當的治療及支持措施，直到症狀解除為止。</w:t>
      </w:r>
    </w:p>
    <w:p w:rsidR="00A72105" w:rsidRDefault="009C60B0" w:rsidP="00A72105">
      <w:pPr>
        <w:pStyle w:val="a8"/>
        <w:numPr>
          <w:ilvl w:val="0"/>
          <w:numId w:val="3"/>
        </w:numPr>
        <w:spacing w:line="276" w:lineRule="auto"/>
        <w:ind w:leftChars="0" w:left="993" w:hanging="993"/>
        <w:rPr>
          <w:rFonts w:ascii="標楷體" w:eastAsia="標楷體" w:hAnsi="標楷體"/>
          <w:sz w:val="26"/>
          <w:szCs w:val="26"/>
        </w:rPr>
      </w:pPr>
      <w:r w:rsidRPr="00A72105">
        <w:rPr>
          <w:rFonts w:ascii="標楷體" w:eastAsia="標楷體" w:hAnsi="標楷體" w:hint="eastAsia"/>
          <w:sz w:val="26"/>
          <w:szCs w:val="26"/>
        </w:rPr>
        <w:t>避免用於原本就有腎臟功能異常的病患中。一出現臨床相關腎損傷徵兆時即停用本品。繼續為住院病患監測腎功能至少90天，因為在HES類藥品投藥後長達90天時仍曾經記錄到腎臟取代療法的使用。</w:t>
      </w:r>
    </w:p>
    <w:p w:rsidR="00A72105" w:rsidRDefault="0099643E" w:rsidP="00A72105">
      <w:pPr>
        <w:pStyle w:val="a8"/>
        <w:numPr>
          <w:ilvl w:val="0"/>
          <w:numId w:val="3"/>
        </w:numPr>
        <w:spacing w:line="276" w:lineRule="auto"/>
        <w:ind w:leftChars="0" w:left="993" w:hanging="993"/>
        <w:rPr>
          <w:rFonts w:ascii="標楷體" w:eastAsia="標楷體" w:hAnsi="標楷體"/>
          <w:sz w:val="26"/>
          <w:szCs w:val="26"/>
        </w:rPr>
      </w:pPr>
      <w:r w:rsidRPr="00A72105">
        <w:rPr>
          <w:rFonts w:ascii="標楷體" w:eastAsia="標楷體" w:hAnsi="標楷體" w:hint="eastAsia"/>
          <w:sz w:val="26"/>
          <w:szCs w:val="26"/>
        </w:rPr>
        <w:t>須監測液體平衡、血清電解質濃度、肝腎功能、酸鹼平衡及凝血參數。</w:t>
      </w:r>
    </w:p>
    <w:p w:rsidR="00A72105" w:rsidRDefault="009C60B0" w:rsidP="00A72105">
      <w:pPr>
        <w:pStyle w:val="a8"/>
        <w:numPr>
          <w:ilvl w:val="0"/>
          <w:numId w:val="3"/>
        </w:numPr>
        <w:spacing w:line="276" w:lineRule="auto"/>
        <w:ind w:leftChars="0" w:left="993" w:hanging="993"/>
        <w:rPr>
          <w:rFonts w:ascii="標楷體" w:eastAsia="標楷體" w:hAnsi="標楷體"/>
          <w:sz w:val="26"/>
          <w:szCs w:val="26"/>
        </w:rPr>
      </w:pPr>
      <w:r w:rsidRPr="00A72105">
        <w:rPr>
          <w:rFonts w:ascii="標楷體" w:eastAsia="標楷體" w:hAnsi="標楷體" w:hint="eastAsia"/>
          <w:sz w:val="26"/>
          <w:szCs w:val="26"/>
        </w:rPr>
        <w:t>一出現臨床相關凝血功能障礙徵兆時即停用本品。</w:t>
      </w:r>
      <w:r w:rsidR="0099643E" w:rsidRPr="00A72105">
        <w:rPr>
          <w:rFonts w:ascii="標楷體" w:eastAsia="標楷體" w:hAnsi="標楷體" w:hint="eastAsia"/>
          <w:sz w:val="26"/>
          <w:szCs w:val="26"/>
        </w:rPr>
        <w:t>在進行心肺分流相關開心手術的病患中應監測凝血狀態，因曾有此族群使用HES類藥品時大量出血的通報。</w:t>
      </w:r>
    </w:p>
    <w:p w:rsidR="0099643E" w:rsidRPr="00A72105" w:rsidRDefault="0099643E" w:rsidP="00A72105">
      <w:pPr>
        <w:pStyle w:val="a8"/>
        <w:numPr>
          <w:ilvl w:val="0"/>
          <w:numId w:val="3"/>
        </w:numPr>
        <w:spacing w:line="276" w:lineRule="auto"/>
        <w:ind w:leftChars="0" w:left="993" w:hanging="993"/>
        <w:rPr>
          <w:rFonts w:ascii="標楷體" w:eastAsia="標楷體" w:hAnsi="標楷體"/>
          <w:sz w:val="26"/>
          <w:szCs w:val="26"/>
        </w:rPr>
      </w:pPr>
      <w:r w:rsidRPr="00A72105">
        <w:rPr>
          <w:rFonts w:ascii="標楷體" w:eastAsia="標楷體" w:hAnsi="標楷體" w:hint="eastAsia"/>
          <w:sz w:val="26"/>
          <w:szCs w:val="26"/>
        </w:rPr>
        <w:t>避免液體超負荷或輸注速率過快，為心臟或腎臟功能異常的病患調整劑量。於治療期間應定期評估液體狀態及輸注速率。</w:t>
      </w:r>
    </w:p>
    <w:p w:rsidR="009C60B0" w:rsidRPr="0099643E" w:rsidRDefault="009C60B0" w:rsidP="009C60B0">
      <w:pPr>
        <w:rPr>
          <w:rFonts w:ascii="標楷體" w:eastAsia="標楷體" w:hAnsi="標楷體"/>
        </w:rPr>
      </w:pPr>
    </w:p>
    <w:p w:rsidR="009C60B0" w:rsidRPr="009C60B0" w:rsidRDefault="009C60B0" w:rsidP="009C60B0">
      <w:pPr>
        <w:rPr>
          <w:rFonts w:ascii="標楷體" w:eastAsia="標楷體" w:hAnsi="標楷體"/>
        </w:rPr>
      </w:pPr>
    </w:p>
    <w:p w:rsidR="009C60B0" w:rsidRPr="009C60B0" w:rsidRDefault="009C60B0" w:rsidP="009C60B0">
      <w:pPr>
        <w:ind w:left="425" w:hangingChars="177" w:hanging="425"/>
        <w:rPr>
          <w:rFonts w:ascii="標楷體" w:eastAsia="標楷體" w:hAnsi="標楷體"/>
        </w:rPr>
      </w:pPr>
    </w:p>
    <w:p w:rsidR="001100BF" w:rsidRPr="001100BF" w:rsidRDefault="001100BF" w:rsidP="001100BF">
      <w:pPr>
        <w:ind w:left="425" w:hangingChars="177" w:hanging="425"/>
        <w:rPr>
          <w:rFonts w:ascii="標楷體" w:eastAsia="標楷體" w:hAnsi="標楷體"/>
          <w:bCs/>
          <w:iCs/>
        </w:rPr>
      </w:pPr>
    </w:p>
    <w:p w:rsidR="00572EDB" w:rsidRDefault="00572EDB"/>
    <w:sectPr w:rsidR="00572EDB" w:rsidSect="00F6618C">
      <w:footerReference w:type="default" r:id="rId7"/>
      <w:pgSz w:w="11906" w:h="16838"/>
      <w:pgMar w:top="709" w:right="1274" w:bottom="284" w:left="1843" w:header="851" w:footer="27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FC7" w:rsidRDefault="00707FC7" w:rsidP="00E13436">
      <w:r>
        <w:separator/>
      </w:r>
    </w:p>
  </w:endnote>
  <w:endnote w:type="continuationSeparator" w:id="0">
    <w:p w:rsidR="00707FC7" w:rsidRDefault="00707FC7" w:rsidP="00E13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444805"/>
      <w:docPartObj>
        <w:docPartGallery w:val="Page Numbers (Bottom of Page)"/>
        <w:docPartUnique/>
      </w:docPartObj>
    </w:sdtPr>
    <w:sdtContent>
      <w:p w:rsidR="00E13436" w:rsidRDefault="00E30AEF" w:rsidP="00E13436">
        <w:pPr>
          <w:pStyle w:val="a6"/>
          <w:jc w:val="center"/>
        </w:pPr>
        <w:r>
          <w:fldChar w:fldCharType="begin"/>
        </w:r>
        <w:r w:rsidR="00E13436">
          <w:instrText>PAGE   \* MERGEFORMAT</w:instrText>
        </w:r>
        <w:r>
          <w:fldChar w:fldCharType="separate"/>
        </w:r>
        <w:r w:rsidR="00232211" w:rsidRPr="0023221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FC7" w:rsidRDefault="00707FC7" w:rsidP="00E13436">
      <w:r>
        <w:separator/>
      </w:r>
    </w:p>
  </w:footnote>
  <w:footnote w:type="continuationSeparator" w:id="0">
    <w:p w:rsidR="00707FC7" w:rsidRDefault="00707FC7" w:rsidP="00E13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6BC"/>
    <w:multiLevelType w:val="hybridMultilevel"/>
    <w:tmpl w:val="6B0E6832"/>
    <w:lvl w:ilvl="0" w:tplc="0E3EC2E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A53D87"/>
    <w:multiLevelType w:val="hybridMultilevel"/>
    <w:tmpl w:val="6444FFE2"/>
    <w:lvl w:ilvl="0" w:tplc="385EEE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D24188"/>
    <w:multiLevelType w:val="hybridMultilevel"/>
    <w:tmpl w:val="7C623F60"/>
    <w:lvl w:ilvl="0" w:tplc="385EEE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D60BB7"/>
    <w:multiLevelType w:val="hybridMultilevel"/>
    <w:tmpl w:val="3AB82832"/>
    <w:lvl w:ilvl="0" w:tplc="385EEE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0BF"/>
    <w:rsid w:val="000043C6"/>
    <w:rsid w:val="00105372"/>
    <w:rsid w:val="001100BF"/>
    <w:rsid w:val="00225850"/>
    <w:rsid w:val="00232211"/>
    <w:rsid w:val="00243345"/>
    <w:rsid w:val="002A4D4F"/>
    <w:rsid w:val="002F6EA2"/>
    <w:rsid w:val="00392186"/>
    <w:rsid w:val="00515397"/>
    <w:rsid w:val="00572EDB"/>
    <w:rsid w:val="005843CB"/>
    <w:rsid w:val="005F0464"/>
    <w:rsid w:val="006A6FC1"/>
    <w:rsid w:val="00707FC7"/>
    <w:rsid w:val="0099643E"/>
    <w:rsid w:val="009C4DC7"/>
    <w:rsid w:val="009C60B0"/>
    <w:rsid w:val="00A72105"/>
    <w:rsid w:val="00E13436"/>
    <w:rsid w:val="00E30AEF"/>
    <w:rsid w:val="00F6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B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縮"/>
    <w:basedOn w:val="a"/>
    <w:rsid w:val="001100BF"/>
    <w:pPr>
      <w:widowControl w:val="0"/>
      <w:ind w:left="567"/>
      <w:jc w:val="both"/>
    </w:pPr>
    <w:rPr>
      <w:rFonts w:ascii="Verdana" w:eastAsia="標楷體" w:hAnsi="Verdana" w:cs="Times New Roman"/>
      <w:kern w:val="2"/>
      <w:sz w:val="20"/>
    </w:rPr>
  </w:style>
  <w:style w:type="paragraph" w:styleId="a4">
    <w:name w:val="header"/>
    <w:basedOn w:val="a"/>
    <w:link w:val="a5"/>
    <w:uiPriority w:val="99"/>
    <w:unhideWhenUsed/>
    <w:rsid w:val="00E13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3436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3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3436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A7210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B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縮"/>
    <w:basedOn w:val="a"/>
    <w:rsid w:val="001100BF"/>
    <w:pPr>
      <w:widowControl w:val="0"/>
      <w:ind w:left="567"/>
      <w:jc w:val="both"/>
    </w:pPr>
    <w:rPr>
      <w:rFonts w:ascii="Verdana" w:eastAsia="標楷體" w:hAnsi="Verdana" w:cs="Times New Roman"/>
      <w:kern w:val="2"/>
      <w:sz w:val="20"/>
    </w:rPr>
  </w:style>
  <w:style w:type="paragraph" w:styleId="a4">
    <w:name w:val="header"/>
    <w:basedOn w:val="a"/>
    <w:link w:val="a5"/>
    <w:uiPriority w:val="99"/>
    <w:unhideWhenUsed/>
    <w:rsid w:val="00E13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3436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3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3436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A7210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阮義蓁</dc:creator>
  <cp:lastModifiedBy>candy</cp:lastModifiedBy>
  <cp:revision>2</cp:revision>
  <cp:lastPrinted>2014-06-27T02:29:00Z</cp:lastPrinted>
  <dcterms:created xsi:type="dcterms:W3CDTF">2014-08-12T01:41:00Z</dcterms:created>
  <dcterms:modified xsi:type="dcterms:W3CDTF">2014-08-12T01:41:00Z</dcterms:modified>
</cp:coreProperties>
</file>